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6FC06D" w14:textId="77777777" w:rsidR="00677FC1" w:rsidRPr="00677FC1" w:rsidRDefault="00677FC1" w:rsidP="00677FC1">
      <w:pPr>
        <w:shd w:val="clear" w:color="auto" w:fill="FFFFFF"/>
        <w:spacing w:after="240" w:line="510" w:lineRule="atLeast"/>
        <w:outlineLvl w:val="0"/>
        <w:rPr>
          <w:rFonts w:ascii="Segoe UI" w:eastAsia="Times New Roman" w:hAnsi="Segoe UI" w:cs="Segoe UI"/>
          <w:b/>
          <w:bCs/>
          <w:color w:val="0F1115"/>
          <w:kern w:val="36"/>
          <w:sz w:val="36"/>
          <w:szCs w:val="36"/>
          <w:lang w:eastAsia="fr-FR"/>
          <w14:ligatures w14:val="none"/>
        </w:rPr>
      </w:pPr>
      <w:r w:rsidRPr="00677FC1">
        <w:rPr>
          <w:rFonts w:ascii="Segoe UI" w:eastAsia="Times New Roman" w:hAnsi="Segoe UI" w:cs="Segoe UI"/>
          <w:b/>
          <w:bCs/>
          <w:color w:val="0F1115"/>
          <w:kern w:val="36"/>
          <w:sz w:val="36"/>
          <w:szCs w:val="36"/>
          <w:lang w:eastAsia="fr-FR"/>
          <w14:ligatures w14:val="none"/>
        </w:rPr>
        <w:t>FRANCE 2027 — Programme présidentiel chiffré en trois scénarios</w:t>
      </w:r>
    </w:p>
    <w:p w14:paraId="7C35CA88"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2ABFC586">
          <v:rect id="_x0000_i1049" alt="" style="width:453.6pt;height:.05pt;mso-width-percent:0;mso-height-percent:0;mso-width-percent:0;mso-height-percent:0" o:hralign="center" o:hrstd="t" o:hr="t" fillcolor="#a0a0a0" stroked="f"/>
        </w:pict>
      </w:r>
    </w:p>
    <w:p w14:paraId="36A7BD0E" w14:textId="77777777" w:rsidR="00677FC1" w:rsidRPr="00677FC1" w:rsidRDefault="00677FC1" w:rsidP="00677FC1">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677FC1">
        <w:rPr>
          <w:rFonts w:ascii="Segoe UI" w:eastAsia="Times New Roman" w:hAnsi="Segoe UI" w:cs="Segoe UI"/>
          <w:b/>
          <w:bCs/>
          <w:color w:val="0F1115"/>
          <w:kern w:val="0"/>
          <w:sz w:val="33"/>
          <w:szCs w:val="33"/>
          <w:lang w:eastAsia="fr-FR"/>
          <w14:ligatures w14:val="none"/>
        </w:rPr>
        <w:t>ÉTAPE 0 — Socle factuel (situation française 2025-2026)</w:t>
      </w:r>
    </w:p>
    <w:p w14:paraId="5C0C84B2"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Synthèse macroéconomique</w:t>
      </w:r>
    </w:p>
    <w:tbl>
      <w:tblPr>
        <w:tblW w:w="0" w:type="auto"/>
        <w:tblCellMar>
          <w:top w:w="15" w:type="dxa"/>
          <w:left w:w="15" w:type="dxa"/>
          <w:bottom w:w="15" w:type="dxa"/>
          <w:right w:w="15" w:type="dxa"/>
        </w:tblCellMar>
        <w:tblLook w:val="04A0" w:firstRow="1" w:lastRow="0" w:firstColumn="1" w:lastColumn="0" w:noHBand="0" w:noVBand="1"/>
      </w:tblPr>
      <w:tblGrid>
        <w:gridCol w:w="2552"/>
        <w:gridCol w:w="3214"/>
        <w:gridCol w:w="1246"/>
        <w:gridCol w:w="2060"/>
      </w:tblGrid>
      <w:tr w:rsidR="00677FC1" w:rsidRPr="00677FC1" w14:paraId="53CB566B" w14:textId="77777777">
        <w:trPr>
          <w:tblHeader/>
        </w:trPr>
        <w:tc>
          <w:tcPr>
            <w:tcW w:w="0" w:type="auto"/>
            <w:tcBorders>
              <w:top w:val="nil"/>
            </w:tcBorders>
            <w:tcMar>
              <w:top w:w="150" w:type="dxa"/>
              <w:left w:w="0" w:type="dxa"/>
              <w:bottom w:w="150" w:type="dxa"/>
              <w:right w:w="240" w:type="dxa"/>
            </w:tcMar>
            <w:vAlign w:val="center"/>
            <w:hideMark/>
          </w:tcPr>
          <w:p w14:paraId="674B8CD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Indicateur</w:t>
            </w:r>
          </w:p>
        </w:tc>
        <w:tc>
          <w:tcPr>
            <w:tcW w:w="0" w:type="auto"/>
            <w:tcBorders>
              <w:top w:val="nil"/>
            </w:tcBorders>
            <w:tcMar>
              <w:top w:w="150" w:type="dxa"/>
              <w:left w:w="240" w:type="dxa"/>
              <w:bottom w:w="150" w:type="dxa"/>
              <w:right w:w="240" w:type="dxa"/>
            </w:tcMar>
            <w:vAlign w:val="center"/>
            <w:hideMark/>
          </w:tcPr>
          <w:p w14:paraId="5867B8D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Valeur</w:t>
            </w:r>
          </w:p>
        </w:tc>
        <w:tc>
          <w:tcPr>
            <w:tcW w:w="0" w:type="auto"/>
            <w:tcBorders>
              <w:top w:val="nil"/>
            </w:tcBorders>
            <w:tcMar>
              <w:top w:w="150" w:type="dxa"/>
              <w:left w:w="240" w:type="dxa"/>
              <w:bottom w:w="150" w:type="dxa"/>
              <w:right w:w="240" w:type="dxa"/>
            </w:tcMar>
            <w:vAlign w:val="center"/>
            <w:hideMark/>
          </w:tcPr>
          <w:p w14:paraId="1E2B506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Année</w:t>
            </w:r>
          </w:p>
        </w:tc>
        <w:tc>
          <w:tcPr>
            <w:tcW w:w="0" w:type="auto"/>
            <w:tcBorders>
              <w:top w:val="nil"/>
            </w:tcBorders>
            <w:tcMar>
              <w:top w:w="150" w:type="dxa"/>
              <w:left w:w="240" w:type="dxa"/>
              <w:bottom w:w="150" w:type="dxa"/>
              <w:right w:w="240" w:type="dxa"/>
            </w:tcMar>
            <w:vAlign w:val="center"/>
            <w:hideMark/>
          </w:tcPr>
          <w:p w14:paraId="7EB729C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Source</w:t>
            </w:r>
          </w:p>
        </w:tc>
      </w:tr>
      <w:tr w:rsidR="00677FC1" w:rsidRPr="00677FC1" w14:paraId="1D5B6E24" w14:textId="77777777">
        <w:tc>
          <w:tcPr>
            <w:tcW w:w="0" w:type="auto"/>
            <w:tcMar>
              <w:top w:w="150" w:type="dxa"/>
              <w:left w:w="0" w:type="dxa"/>
              <w:bottom w:w="150" w:type="dxa"/>
              <w:right w:w="240" w:type="dxa"/>
            </w:tcMar>
            <w:vAlign w:val="center"/>
            <w:hideMark/>
          </w:tcPr>
          <w:p w14:paraId="3ABF228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PIB nominal</w:t>
            </w:r>
          </w:p>
        </w:tc>
        <w:tc>
          <w:tcPr>
            <w:tcW w:w="0" w:type="auto"/>
            <w:tcMar>
              <w:top w:w="150" w:type="dxa"/>
              <w:left w:w="240" w:type="dxa"/>
              <w:bottom w:w="150" w:type="dxa"/>
              <w:right w:w="240" w:type="dxa"/>
            </w:tcMar>
            <w:vAlign w:val="center"/>
            <w:hideMark/>
          </w:tcPr>
          <w:p w14:paraId="519BB4A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~3 000 Md€ (est. annualisé)</w:t>
            </w:r>
          </w:p>
        </w:tc>
        <w:tc>
          <w:tcPr>
            <w:tcW w:w="0" w:type="auto"/>
            <w:tcMar>
              <w:top w:w="150" w:type="dxa"/>
              <w:left w:w="240" w:type="dxa"/>
              <w:bottom w:w="150" w:type="dxa"/>
              <w:right w:w="240" w:type="dxa"/>
            </w:tcMar>
            <w:vAlign w:val="center"/>
            <w:hideMark/>
          </w:tcPr>
          <w:p w14:paraId="5D6F872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 T1</w:t>
            </w:r>
          </w:p>
        </w:tc>
        <w:tc>
          <w:tcPr>
            <w:tcW w:w="0" w:type="auto"/>
            <w:tcMar>
              <w:top w:w="150" w:type="dxa"/>
              <w:left w:w="240" w:type="dxa"/>
              <w:bottom w:w="150" w:type="dxa"/>
              <w:right w:w="0" w:type="dxa"/>
            </w:tcMar>
            <w:vAlign w:val="center"/>
            <w:hideMark/>
          </w:tcPr>
          <w:p w14:paraId="1AA0940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INSEE/CEIC </w:t>
            </w:r>
          </w:p>
        </w:tc>
      </w:tr>
      <w:tr w:rsidR="00677FC1" w:rsidRPr="00677FC1" w14:paraId="2BCA88F4" w14:textId="77777777">
        <w:tc>
          <w:tcPr>
            <w:tcW w:w="0" w:type="auto"/>
            <w:tcMar>
              <w:top w:w="150" w:type="dxa"/>
              <w:left w:w="0" w:type="dxa"/>
              <w:bottom w:w="150" w:type="dxa"/>
              <w:right w:w="240" w:type="dxa"/>
            </w:tcMar>
            <w:vAlign w:val="center"/>
            <w:hideMark/>
          </w:tcPr>
          <w:p w14:paraId="579D2B4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Croissance 2025</w:t>
            </w:r>
          </w:p>
        </w:tc>
        <w:tc>
          <w:tcPr>
            <w:tcW w:w="0" w:type="auto"/>
            <w:tcMar>
              <w:top w:w="150" w:type="dxa"/>
              <w:left w:w="240" w:type="dxa"/>
              <w:bottom w:w="150" w:type="dxa"/>
              <w:right w:w="240" w:type="dxa"/>
            </w:tcMar>
            <w:vAlign w:val="center"/>
            <w:hideMark/>
          </w:tcPr>
          <w:p w14:paraId="43911DB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0,9%</w:t>
            </w:r>
          </w:p>
        </w:tc>
        <w:tc>
          <w:tcPr>
            <w:tcW w:w="0" w:type="auto"/>
            <w:tcMar>
              <w:top w:w="150" w:type="dxa"/>
              <w:left w:w="240" w:type="dxa"/>
              <w:bottom w:w="150" w:type="dxa"/>
              <w:right w:w="240" w:type="dxa"/>
            </w:tcMar>
            <w:vAlign w:val="center"/>
            <w:hideMark/>
          </w:tcPr>
          <w:p w14:paraId="312E3C7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2025</w:t>
            </w:r>
          </w:p>
        </w:tc>
        <w:tc>
          <w:tcPr>
            <w:tcW w:w="0" w:type="auto"/>
            <w:tcMar>
              <w:top w:w="150" w:type="dxa"/>
              <w:left w:w="240" w:type="dxa"/>
              <w:bottom w:w="150" w:type="dxa"/>
              <w:right w:w="0" w:type="dxa"/>
            </w:tcMar>
            <w:vAlign w:val="center"/>
            <w:hideMark/>
          </w:tcPr>
          <w:p w14:paraId="55D37208"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INSEE </w:t>
            </w:r>
          </w:p>
        </w:tc>
      </w:tr>
      <w:tr w:rsidR="00677FC1" w:rsidRPr="00677FC1" w14:paraId="04E3AA19" w14:textId="77777777">
        <w:tc>
          <w:tcPr>
            <w:tcW w:w="0" w:type="auto"/>
            <w:tcMar>
              <w:top w:w="150" w:type="dxa"/>
              <w:left w:w="0" w:type="dxa"/>
              <w:bottom w:w="150" w:type="dxa"/>
              <w:right w:w="240" w:type="dxa"/>
            </w:tcMar>
            <w:vAlign w:val="center"/>
            <w:hideMark/>
          </w:tcPr>
          <w:p w14:paraId="13F4CFA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Croissance prévue 2026</w:t>
            </w:r>
          </w:p>
        </w:tc>
        <w:tc>
          <w:tcPr>
            <w:tcW w:w="0" w:type="auto"/>
            <w:tcMar>
              <w:top w:w="150" w:type="dxa"/>
              <w:left w:w="240" w:type="dxa"/>
              <w:bottom w:w="150" w:type="dxa"/>
              <w:right w:w="240" w:type="dxa"/>
            </w:tcMar>
            <w:vAlign w:val="center"/>
            <w:hideMark/>
          </w:tcPr>
          <w:p w14:paraId="31CE4F4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0,9-1,0%</w:t>
            </w:r>
          </w:p>
        </w:tc>
        <w:tc>
          <w:tcPr>
            <w:tcW w:w="0" w:type="auto"/>
            <w:tcMar>
              <w:top w:w="150" w:type="dxa"/>
              <w:left w:w="240" w:type="dxa"/>
              <w:bottom w:w="150" w:type="dxa"/>
              <w:right w:w="240" w:type="dxa"/>
            </w:tcMar>
            <w:vAlign w:val="center"/>
            <w:hideMark/>
          </w:tcPr>
          <w:p w14:paraId="52C3E69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0" w:type="dxa"/>
            </w:tcMar>
            <w:vAlign w:val="center"/>
            <w:hideMark/>
          </w:tcPr>
          <w:p w14:paraId="4072884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INSEE/FMI </w:t>
            </w:r>
          </w:p>
        </w:tc>
      </w:tr>
      <w:tr w:rsidR="00677FC1" w:rsidRPr="00677FC1" w14:paraId="418AC8AB" w14:textId="77777777">
        <w:tc>
          <w:tcPr>
            <w:tcW w:w="0" w:type="auto"/>
            <w:tcMar>
              <w:top w:w="150" w:type="dxa"/>
              <w:left w:w="0" w:type="dxa"/>
              <w:bottom w:w="150" w:type="dxa"/>
              <w:right w:w="240" w:type="dxa"/>
            </w:tcMar>
            <w:vAlign w:val="center"/>
            <w:hideMark/>
          </w:tcPr>
          <w:p w14:paraId="2D01366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Inflation</w:t>
            </w:r>
          </w:p>
        </w:tc>
        <w:tc>
          <w:tcPr>
            <w:tcW w:w="0" w:type="auto"/>
            <w:tcMar>
              <w:top w:w="150" w:type="dxa"/>
              <w:left w:w="240" w:type="dxa"/>
              <w:bottom w:w="150" w:type="dxa"/>
              <w:right w:w="240" w:type="dxa"/>
            </w:tcMar>
            <w:vAlign w:val="center"/>
            <w:hideMark/>
          </w:tcPr>
          <w:p w14:paraId="2292006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En hausse (énergie ~100$/baril)</w:t>
            </w:r>
          </w:p>
        </w:tc>
        <w:tc>
          <w:tcPr>
            <w:tcW w:w="0" w:type="auto"/>
            <w:tcMar>
              <w:top w:w="150" w:type="dxa"/>
              <w:left w:w="240" w:type="dxa"/>
              <w:bottom w:w="150" w:type="dxa"/>
              <w:right w:w="240" w:type="dxa"/>
            </w:tcMar>
            <w:vAlign w:val="center"/>
            <w:hideMark/>
          </w:tcPr>
          <w:p w14:paraId="5625BB6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0" w:type="dxa"/>
            </w:tcMar>
            <w:vAlign w:val="center"/>
            <w:hideMark/>
          </w:tcPr>
          <w:p w14:paraId="0093CF7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INSEE </w:t>
            </w:r>
          </w:p>
        </w:tc>
      </w:tr>
      <w:tr w:rsidR="00677FC1" w:rsidRPr="00677FC1" w14:paraId="5C61CD7B" w14:textId="77777777">
        <w:tc>
          <w:tcPr>
            <w:tcW w:w="0" w:type="auto"/>
            <w:tcMar>
              <w:top w:w="150" w:type="dxa"/>
              <w:left w:w="0" w:type="dxa"/>
              <w:bottom w:w="150" w:type="dxa"/>
              <w:right w:w="240" w:type="dxa"/>
            </w:tcMar>
            <w:vAlign w:val="center"/>
            <w:hideMark/>
          </w:tcPr>
          <w:p w14:paraId="04412A0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Déficit public 2025</w:t>
            </w:r>
          </w:p>
        </w:tc>
        <w:tc>
          <w:tcPr>
            <w:tcW w:w="0" w:type="auto"/>
            <w:tcMar>
              <w:top w:w="150" w:type="dxa"/>
              <w:left w:w="240" w:type="dxa"/>
              <w:bottom w:w="150" w:type="dxa"/>
              <w:right w:w="240" w:type="dxa"/>
            </w:tcMar>
            <w:vAlign w:val="center"/>
            <w:hideMark/>
          </w:tcPr>
          <w:p w14:paraId="52F7298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161 Md€ (5,4% PIB)</w:t>
            </w:r>
          </w:p>
        </w:tc>
        <w:tc>
          <w:tcPr>
            <w:tcW w:w="0" w:type="auto"/>
            <w:tcMar>
              <w:top w:w="150" w:type="dxa"/>
              <w:left w:w="240" w:type="dxa"/>
              <w:bottom w:w="150" w:type="dxa"/>
              <w:right w:w="240" w:type="dxa"/>
            </w:tcMar>
            <w:vAlign w:val="center"/>
            <w:hideMark/>
          </w:tcPr>
          <w:p w14:paraId="6F014D6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2025</w:t>
            </w:r>
          </w:p>
        </w:tc>
        <w:tc>
          <w:tcPr>
            <w:tcW w:w="0" w:type="auto"/>
            <w:tcMar>
              <w:top w:w="150" w:type="dxa"/>
              <w:left w:w="240" w:type="dxa"/>
              <w:bottom w:w="150" w:type="dxa"/>
              <w:right w:w="0" w:type="dxa"/>
            </w:tcMar>
            <w:vAlign w:val="center"/>
            <w:hideMark/>
          </w:tcPr>
          <w:p w14:paraId="2004349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Cour des comptes </w:t>
            </w:r>
          </w:p>
        </w:tc>
      </w:tr>
      <w:tr w:rsidR="00677FC1" w:rsidRPr="00677FC1" w14:paraId="1ACDD730" w14:textId="77777777">
        <w:tc>
          <w:tcPr>
            <w:tcW w:w="0" w:type="auto"/>
            <w:tcMar>
              <w:top w:w="150" w:type="dxa"/>
              <w:left w:w="0" w:type="dxa"/>
              <w:bottom w:w="150" w:type="dxa"/>
              <w:right w:w="240" w:type="dxa"/>
            </w:tcMar>
            <w:vAlign w:val="center"/>
            <w:hideMark/>
          </w:tcPr>
          <w:p w14:paraId="2F14DEF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Déficit prévu 2026</w:t>
            </w:r>
          </w:p>
        </w:tc>
        <w:tc>
          <w:tcPr>
            <w:tcW w:w="0" w:type="auto"/>
            <w:tcMar>
              <w:top w:w="150" w:type="dxa"/>
              <w:left w:w="240" w:type="dxa"/>
              <w:bottom w:w="150" w:type="dxa"/>
              <w:right w:w="240" w:type="dxa"/>
            </w:tcMar>
            <w:vAlign w:val="center"/>
            <w:hideMark/>
          </w:tcPr>
          <w:p w14:paraId="4EBAB08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~5% PIB (fragile)</w:t>
            </w:r>
          </w:p>
        </w:tc>
        <w:tc>
          <w:tcPr>
            <w:tcW w:w="0" w:type="auto"/>
            <w:tcMar>
              <w:top w:w="150" w:type="dxa"/>
              <w:left w:w="240" w:type="dxa"/>
              <w:bottom w:w="150" w:type="dxa"/>
              <w:right w:w="240" w:type="dxa"/>
            </w:tcMar>
            <w:vAlign w:val="center"/>
            <w:hideMark/>
          </w:tcPr>
          <w:p w14:paraId="6B12FC1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0" w:type="dxa"/>
            </w:tcMar>
            <w:vAlign w:val="center"/>
            <w:hideMark/>
          </w:tcPr>
          <w:p w14:paraId="525ED2E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HCFP/Cour </w:t>
            </w:r>
          </w:p>
        </w:tc>
      </w:tr>
      <w:tr w:rsidR="00677FC1" w:rsidRPr="00677FC1" w14:paraId="1E3D8CDA" w14:textId="77777777">
        <w:tc>
          <w:tcPr>
            <w:tcW w:w="0" w:type="auto"/>
            <w:tcMar>
              <w:top w:w="150" w:type="dxa"/>
              <w:left w:w="0" w:type="dxa"/>
              <w:bottom w:w="150" w:type="dxa"/>
              <w:right w:w="240" w:type="dxa"/>
            </w:tcMar>
            <w:vAlign w:val="center"/>
            <w:hideMark/>
          </w:tcPr>
          <w:p w14:paraId="65C51C2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Dette publique</w:t>
            </w:r>
          </w:p>
        </w:tc>
        <w:tc>
          <w:tcPr>
            <w:tcW w:w="0" w:type="auto"/>
            <w:tcMar>
              <w:top w:w="150" w:type="dxa"/>
              <w:left w:w="240" w:type="dxa"/>
              <w:bottom w:w="150" w:type="dxa"/>
              <w:right w:w="240" w:type="dxa"/>
            </w:tcMar>
            <w:vAlign w:val="center"/>
            <w:hideMark/>
          </w:tcPr>
          <w:p w14:paraId="55D634E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~3 460 Md€ (115,7% PIB)</w:t>
            </w:r>
          </w:p>
        </w:tc>
        <w:tc>
          <w:tcPr>
            <w:tcW w:w="0" w:type="auto"/>
            <w:tcMar>
              <w:top w:w="150" w:type="dxa"/>
              <w:left w:w="240" w:type="dxa"/>
              <w:bottom w:w="150" w:type="dxa"/>
              <w:right w:w="240" w:type="dxa"/>
            </w:tcMar>
            <w:vAlign w:val="center"/>
            <w:hideMark/>
          </w:tcPr>
          <w:p w14:paraId="15B92E6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0" w:type="dxa"/>
            </w:tcMar>
            <w:vAlign w:val="center"/>
            <w:hideMark/>
          </w:tcPr>
          <w:p w14:paraId="7C35279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Cour des comptes </w:t>
            </w:r>
          </w:p>
        </w:tc>
      </w:tr>
      <w:tr w:rsidR="00677FC1" w:rsidRPr="00677FC1" w14:paraId="2E80592A" w14:textId="77777777">
        <w:tc>
          <w:tcPr>
            <w:tcW w:w="0" w:type="auto"/>
            <w:tcMar>
              <w:top w:w="150" w:type="dxa"/>
              <w:left w:w="0" w:type="dxa"/>
              <w:bottom w:w="150" w:type="dxa"/>
              <w:right w:w="240" w:type="dxa"/>
            </w:tcMar>
            <w:vAlign w:val="center"/>
            <w:hideMark/>
          </w:tcPr>
          <w:p w14:paraId="3A51405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Dette prévue fin 2026</w:t>
            </w:r>
          </w:p>
        </w:tc>
        <w:tc>
          <w:tcPr>
            <w:tcW w:w="0" w:type="auto"/>
            <w:tcMar>
              <w:top w:w="150" w:type="dxa"/>
              <w:left w:w="240" w:type="dxa"/>
              <w:bottom w:w="150" w:type="dxa"/>
              <w:right w:w="240" w:type="dxa"/>
            </w:tcMar>
            <w:vAlign w:val="center"/>
            <w:hideMark/>
          </w:tcPr>
          <w:p w14:paraId="5A1F205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118,6% PIB</w:t>
            </w:r>
          </w:p>
        </w:tc>
        <w:tc>
          <w:tcPr>
            <w:tcW w:w="0" w:type="auto"/>
            <w:tcMar>
              <w:top w:w="150" w:type="dxa"/>
              <w:left w:w="240" w:type="dxa"/>
              <w:bottom w:w="150" w:type="dxa"/>
              <w:right w:w="240" w:type="dxa"/>
            </w:tcMar>
            <w:vAlign w:val="center"/>
            <w:hideMark/>
          </w:tcPr>
          <w:p w14:paraId="7728099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0" w:type="dxa"/>
            </w:tcMar>
            <w:vAlign w:val="center"/>
            <w:hideMark/>
          </w:tcPr>
          <w:p w14:paraId="5605905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Cour des comptes </w:t>
            </w:r>
          </w:p>
        </w:tc>
      </w:tr>
      <w:tr w:rsidR="00677FC1" w:rsidRPr="00677FC1" w14:paraId="5A42CECA" w14:textId="77777777">
        <w:tc>
          <w:tcPr>
            <w:tcW w:w="0" w:type="auto"/>
            <w:tcMar>
              <w:top w:w="150" w:type="dxa"/>
              <w:left w:w="0" w:type="dxa"/>
              <w:bottom w:w="150" w:type="dxa"/>
              <w:right w:w="240" w:type="dxa"/>
            </w:tcMar>
            <w:vAlign w:val="center"/>
            <w:hideMark/>
          </w:tcPr>
          <w:p w14:paraId="0CE9732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Charge d'intérêts 2025</w:t>
            </w:r>
          </w:p>
        </w:tc>
        <w:tc>
          <w:tcPr>
            <w:tcW w:w="0" w:type="auto"/>
            <w:tcMar>
              <w:top w:w="150" w:type="dxa"/>
              <w:left w:w="240" w:type="dxa"/>
              <w:bottom w:w="150" w:type="dxa"/>
              <w:right w:w="240" w:type="dxa"/>
            </w:tcMar>
            <w:vAlign w:val="center"/>
            <w:hideMark/>
          </w:tcPr>
          <w:p w14:paraId="72F28EC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67 Md€</w:t>
            </w:r>
          </w:p>
        </w:tc>
        <w:tc>
          <w:tcPr>
            <w:tcW w:w="0" w:type="auto"/>
            <w:tcMar>
              <w:top w:w="150" w:type="dxa"/>
              <w:left w:w="240" w:type="dxa"/>
              <w:bottom w:w="150" w:type="dxa"/>
              <w:right w:w="240" w:type="dxa"/>
            </w:tcMar>
            <w:vAlign w:val="center"/>
            <w:hideMark/>
          </w:tcPr>
          <w:p w14:paraId="5E5C67A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2025</w:t>
            </w:r>
          </w:p>
        </w:tc>
        <w:tc>
          <w:tcPr>
            <w:tcW w:w="0" w:type="auto"/>
            <w:tcMar>
              <w:top w:w="150" w:type="dxa"/>
              <w:left w:w="240" w:type="dxa"/>
              <w:bottom w:w="150" w:type="dxa"/>
              <w:right w:w="0" w:type="dxa"/>
            </w:tcMar>
            <w:vAlign w:val="center"/>
            <w:hideMark/>
          </w:tcPr>
          <w:p w14:paraId="1A02033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Cour des comptes </w:t>
            </w:r>
          </w:p>
        </w:tc>
      </w:tr>
      <w:tr w:rsidR="00677FC1" w:rsidRPr="00677FC1" w14:paraId="789782AB" w14:textId="77777777">
        <w:tc>
          <w:tcPr>
            <w:tcW w:w="0" w:type="auto"/>
            <w:tcMar>
              <w:top w:w="150" w:type="dxa"/>
              <w:left w:w="0" w:type="dxa"/>
              <w:bottom w:w="150" w:type="dxa"/>
              <w:right w:w="240" w:type="dxa"/>
            </w:tcMar>
            <w:vAlign w:val="center"/>
            <w:hideMark/>
          </w:tcPr>
          <w:p w14:paraId="50040BD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lastRenderedPageBreak/>
              <w:t>Charge d'intérêts 2026</w:t>
            </w:r>
          </w:p>
        </w:tc>
        <w:tc>
          <w:tcPr>
            <w:tcW w:w="0" w:type="auto"/>
            <w:tcMar>
              <w:top w:w="150" w:type="dxa"/>
              <w:left w:w="240" w:type="dxa"/>
              <w:bottom w:w="150" w:type="dxa"/>
              <w:right w:w="240" w:type="dxa"/>
            </w:tcMar>
            <w:vAlign w:val="center"/>
            <w:hideMark/>
          </w:tcPr>
          <w:p w14:paraId="4647765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74 Md€ (prévision)</w:t>
            </w:r>
          </w:p>
        </w:tc>
        <w:tc>
          <w:tcPr>
            <w:tcW w:w="0" w:type="auto"/>
            <w:tcMar>
              <w:top w:w="150" w:type="dxa"/>
              <w:left w:w="240" w:type="dxa"/>
              <w:bottom w:w="150" w:type="dxa"/>
              <w:right w:w="240" w:type="dxa"/>
            </w:tcMar>
            <w:vAlign w:val="center"/>
            <w:hideMark/>
          </w:tcPr>
          <w:p w14:paraId="3E93169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0" w:type="dxa"/>
            </w:tcMar>
            <w:vAlign w:val="center"/>
            <w:hideMark/>
          </w:tcPr>
          <w:p w14:paraId="2BD72AF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Cour des comptes </w:t>
            </w:r>
          </w:p>
        </w:tc>
      </w:tr>
      <w:tr w:rsidR="00677FC1" w:rsidRPr="00677FC1" w14:paraId="0C252129" w14:textId="77777777">
        <w:tc>
          <w:tcPr>
            <w:tcW w:w="0" w:type="auto"/>
            <w:tcMar>
              <w:top w:w="150" w:type="dxa"/>
              <w:left w:w="0" w:type="dxa"/>
              <w:bottom w:w="150" w:type="dxa"/>
              <w:right w:w="240" w:type="dxa"/>
            </w:tcMar>
            <w:vAlign w:val="center"/>
            <w:hideMark/>
          </w:tcPr>
          <w:p w14:paraId="677CC48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Charge d'intérêts 2027</w:t>
            </w:r>
          </w:p>
        </w:tc>
        <w:tc>
          <w:tcPr>
            <w:tcW w:w="0" w:type="auto"/>
            <w:tcMar>
              <w:top w:w="150" w:type="dxa"/>
              <w:left w:w="240" w:type="dxa"/>
              <w:bottom w:w="150" w:type="dxa"/>
              <w:right w:w="240" w:type="dxa"/>
            </w:tcMar>
            <w:vAlign w:val="center"/>
            <w:hideMark/>
          </w:tcPr>
          <w:p w14:paraId="388BF97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~80 Md€ (prévision)</w:t>
            </w:r>
          </w:p>
        </w:tc>
        <w:tc>
          <w:tcPr>
            <w:tcW w:w="0" w:type="auto"/>
            <w:tcMar>
              <w:top w:w="150" w:type="dxa"/>
              <w:left w:w="240" w:type="dxa"/>
              <w:bottom w:w="150" w:type="dxa"/>
              <w:right w:w="240" w:type="dxa"/>
            </w:tcMar>
            <w:vAlign w:val="center"/>
            <w:hideMark/>
          </w:tcPr>
          <w:p w14:paraId="6CEDE0D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2027</w:t>
            </w:r>
          </w:p>
        </w:tc>
        <w:tc>
          <w:tcPr>
            <w:tcW w:w="0" w:type="auto"/>
            <w:tcMar>
              <w:top w:w="150" w:type="dxa"/>
              <w:left w:w="240" w:type="dxa"/>
              <w:bottom w:w="150" w:type="dxa"/>
              <w:right w:w="0" w:type="dxa"/>
            </w:tcMar>
            <w:vAlign w:val="center"/>
            <w:hideMark/>
          </w:tcPr>
          <w:p w14:paraId="7CD82C3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Cour des comptes </w:t>
            </w:r>
          </w:p>
        </w:tc>
      </w:tr>
      <w:tr w:rsidR="00677FC1" w:rsidRPr="00677FC1" w14:paraId="7EB4E321" w14:textId="77777777">
        <w:tc>
          <w:tcPr>
            <w:tcW w:w="0" w:type="auto"/>
            <w:tcMar>
              <w:top w:w="150" w:type="dxa"/>
              <w:left w:w="0" w:type="dxa"/>
              <w:bottom w:w="150" w:type="dxa"/>
              <w:right w:w="240" w:type="dxa"/>
            </w:tcMar>
            <w:vAlign w:val="center"/>
            <w:hideMark/>
          </w:tcPr>
          <w:p w14:paraId="0775DA0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Prélèvements obligatoires</w:t>
            </w:r>
          </w:p>
        </w:tc>
        <w:tc>
          <w:tcPr>
            <w:tcW w:w="0" w:type="auto"/>
            <w:tcMar>
              <w:top w:w="150" w:type="dxa"/>
              <w:left w:w="240" w:type="dxa"/>
              <w:bottom w:w="150" w:type="dxa"/>
              <w:right w:w="240" w:type="dxa"/>
            </w:tcMar>
            <w:vAlign w:val="center"/>
            <w:hideMark/>
          </w:tcPr>
          <w:p w14:paraId="4F39A72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~43,9% PIB</w:t>
            </w:r>
          </w:p>
        </w:tc>
        <w:tc>
          <w:tcPr>
            <w:tcW w:w="0" w:type="auto"/>
            <w:tcMar>
              <w:top w:w="150" w:type="dxa"/>
              <w:left w:w="240" w:type="dxa"/>
              <w:bottom w:w="150" w:type="dxa"/>
              <w:right w:w="240" w:type="dxa"/>
            </w:tcMar>
            <w:vAlign w:val="center"/>
            <w:hideMark/>
          </w:tcPr>
          <w:p w14:paraId="71CEDCA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0" w:type="dxa"/>
            </w:tcMar>
            <w:vAlign w:val="center"/>
            <w:hideMark/>
          </w:tcPr>
          <w:p w14:paraId="27F50B0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Gouvernement </w:t>
            </w:r>
          </w:p>
        </w:tc>
      </w:tr>
      <w:tr w:rsidR="00677FC1" w:rsidRPr="00677FC1" w14:paraId="402EE6E5" w14:textId="77777777">
        <w:tc>
          <w:tcPr>
            <w:tcW w:w="0" w:type="auto"/>
            <w:tcMar>
              <w:top w:w="150" w:type="dxa"/>
              <w:left w:w="0" w:type="dxa"/>
              <w:bottom w:w="150" w:type="dxa"/>
              <w:right w:w="240" w:type="dxa"/>
            </w:tcMar>
            <w:vAlign w:val="center"/>
            <w:hideMark/>
          </w:tcPr>
          <w:p w14:paraId="7C7A762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Dépenses publiques</w:t>
            </w:r>
          </w:p>
        </w:tc>
        <w:tc>
          <w:tcPr>
            <w:tcW w:w="0" w:type="auto"/>
            <w:tcMar>
              <w:top w:w="150" w:type="dxa"/>
              <w:left w:w="240" w:type="dxa"/>
              <w:bottom w:w="150" w:type="dxa"/>
              <w:right w:w="240" w:type="dxa"/>
            </w:tcMar>
            <w:vAlign w:val="center"/>
            <w:hideMark/>
          </w:tcPr>
          <w:p w14:paraId="0113981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~56,4% PIB</w:t>
            </w:r>
          </w:p>
        </w:tc>
        <w:tc>
          <w:tcPr>
            <w:tcW w:w="0" w:type="auto"/>
            <w:tcMar>
              <w:top w:w="150" w:type="dxa"/>
              <w:left w:w="240" w:type="dxa"/>
              <w:bottom w:w="150" w:type="dxa"/>
              <w:right w:w="240" w:type="dxa"/>
            </w:tcMar>
            <w:vAlign w:val="center"/>
            <w:hideMark/>
          </w:tcPr>
          <w:p w14:paraId="67BEE08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0" w:type="dxa"/>
            </w:tcMar>
            <w:vAlign w:val="center"/>
            <w:hideMark/>
          </w:tcPr>
          <w:p w14:paraId="20B7A48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Gouvernement </w:t>
            </w:r>
          </w:p>
        </w:tc>
      </w:tr>
    </w:tbl>
    <w:p w14:paraId="625CA699"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Contraintes budgétaires réelles</w:t>
      </w:r>
    </w:p>
    <w:p w14:paraId="17701965"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La France est le troisième pays le plus endetté de la zone euro, et le seul dont la dette est plus élevée qu'à la fin du Covid . Le Haut Conseil des finances publiques juge la trajectoire gouvernementale "peu crédible" : un retour sous 3% d'ici 2029 supposerait un ajustement structurel massif (2,2 points de PIB) jamais réalisé par le passé .</w:t>
      </w:r>
    </w:p>
    <w:p w14:paraId="428AFB0D"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Marge de manœuvre réelle estimée</w:t>
      </w:r>
      <w:r w:rsidRPr="00677FC1">
        <w:rPr>
          <w:rFonts w:ascii="Segoe UI" w:eastAsia="Times New Roman" w:hAnsi="Segoe UI" w:cs="Segoe UI"/>
          <w:color w:val="0F1115"/>
          <w:kern w:val="0"/>
          <w:lang w:eastAsia="fr-FR"/>
          <w14:ligatures w14:val="none"/>
        </w:rPr>
        <w:t> : La dépense primaire (hors charge d'intérêts et hors lois de programmation) ne peut croître en volume que de </w:t>
      </w:r>
      <w:r w:rsidRPr="00677FC1">
        <w:rPr>
          <w:rFonts w:ascii="Segoe UI" w:eastAsia="Times New Roman" w:hAnsi="Segoe UI" w:cs="Segoe UI"/>
          <w:b/>
          <w:bCs/>
          <w:color w:val="0F1115"/>
          <w:kern w:val="0"/>
          <w:lang w:eastAsia="fr-FR"/>
          <w14:ligatures w14:val="none"/>
        </w:rPr>
        <w:t>0,3% à 0,5% par an</w:t>
      </w:r>
      <w:r w:rsidRPr="00677FC1">
        <w:rPr>
          <w:rFonts w:ascii="Segoe UI" w:eastAsia="Times New Roman" w:hAnsi="Segoe UI" w:cs="Segoe UI"/>
          <w:color w:val="0F1115"/>
          <w:kern w:val="0"/>
          <w:lang w:eastAsia="fr-FR"/>
          <w14:ligatures w14:val="none"/>
        </w:rPr>
        <w:t> sans rompre la trajectoire de réduction du déficit . La Cour des comptes est explicite : les hausses d'impôts sont "tapped out" — la France a le plus haut taux de prélèvements obligatoires de la zone euro, et de nouvelles augmentations massives menacent compétitivité et emploi .</w:t>
      </w:r>
    </w:p>
    <w:p w14:paraId="68CE06E0"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Conclusion socle</w:t>
      </w:r>
      <w:r w:rsidRPr="00677FC1">
        <w:rPr>
          <w:rFonts w:ascii="Segoe UI" w:eastAsia="Times New Roman" w:hAnsi="Segoe UI" w:cs="Segoe UI"/>
          <w:color w:val="0F1115"/>
          <w:kern w:val="0"/>
          <w:lang w:eastAsia="fr-FR"/>
          <w14:ligatures w14:val="none"/>
        </w:rPr>
        <w:t> : La contrainte est sévère. Toute dépense nouvelle doit être financée par des économies pérennes ou une croissance induite documentée. Le "quoi qu'il en coûte" n'est plus une option.</w:t>
      </w:r>
    </w:p>
    <w:p w14:paraId="42EAA175"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67F832B6">
          <v:rect id="_x0000_i1048" alt="" style="width:453.6pt;height:.05pt;mso-width-percent:0;mso-height-percent:0;mso-width-percent:0;mso-height-percent:0" o:hralign="center" o:hrstd="t" o:hr="t" fillcolor="#a0a0a0" stroked="f"/>
        </w:pict>
      </w:r>
    </w:p>
    <w:p w14:paraId="3E40D66D" w14:textId="77777777" w:rsidR="00677FC1" w:rsidRPr="00677FC1" w:rsidRDefault="00677FC1" w:rsidP="00677FC1">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677FC1">
        <w:rPr>
          <w:rFonts w:ascii="Segoe UI" w:eastAsia="Times New Roman" w:hAnsi="Segoe UI" w:cs="Segoe UI"/>
          <w:b/>
          <w:bCs/>
          <w:color w:val="0F1115"/>
          <w:kern w:val="0"/>
          <w:sz w:val="33"/>
          <w:szCs w:val="33"/>
          <w:lang w:eastAsia="fr-FR"/>
          <w14:ligatures w14:val="none"/>
        </w:rPr>
        <w:t>ÉTAPE 1 — Fonction-objectif et priorités</w:t>
      </w:r>
    </w:p>
    <w:p w14:paraId="586EF407"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Fonction-objectif assumée</w:t>
      </w:r>
    </w:p>
    <w:p w14:paraId="3394A7FB"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Je pondère : </w:t>
      </w:r>
      <w:r w:rsidRPr="00677FC1">
        <w:rPr>
          <w:rFonts w:ascii="Segoe UI" w:eastAsia="Times New Roman" w:hAnsi="Segoe UI" w:cs="Segoe UI"/>
          <w:b/>
          <w:bCs/>
          <w:color w:val="0F1115"/>
          <w:kern w:val="0"/>
          <w:lang w:eastAsia="fr-FR"/>
          <w14:ligatures w14:val="none"/>
        </w:rPr>
        <w:t>soutenabilité budgétaire et intergénérationnelle (40%)</w:t>
      </w:r>
      <w:r w:rsidRPr="00677FC1">
        <w:rPr>
          <w:rFonts w:ascii="Segoe UI" w:eastAsia="Times New Roman" w:hAnsi="Segoe UI" w:cs="Segoe UI"/>
          <w:color w:val="0F1115"/>
          <w:kern w:val="0"/>
          <w:lang w:eastAsia="fr-FR"/>
          <w14:ligatures w14:val="none"/>
        </w:rPr>
        <w:t> , </w:t>
      </w:r>
      <w:r w:rsidRPr="00677FC1">
        <w:rPr>
          <w:rFonts w:ascii="Segoe UI" w:eastAsia="Times New Roman" w:hAnsi="Segoe UI" w:cs="Segoe UI"/>
          <w:b/>
          <w:bCs/>
          <w:color w:val="0F1115"/>
          <w:kern w:val="0"/>
          <w:lang w:eastAsia="fr-FR"/>
          <w14:ligatures w14:val="none"/>
        </w:rPr>
        <w:t>souveraineté et puissance économique (25%)</w:t>
      </w:r>
      <w:r w:rsidRPr="00677FC1">
        <w:rPr>
          <w:rFonts w:ascii="Segoe UI" w:eastAsia="Times New Roman" w:hAnsi="Segoe UI" w:cs="Segoe UI"/>
          <w:color w:val="0F1115"/>
          <w:kern w:val="0"/>
          <w:lang w:eastAsia="fr-FR"/>
          <w14:ligatures w14:val="none"/>
        </w:rPr>
        <w:t> , </w:t>
      </w:r>
      <w:r w:rsidRPr="00677FC1">
        <w:rPr>
          <w:rFonts w:ascii="Segoe UI" w:eastAsia="Times New Roman" w:hAnsi="Segoe UI" w:cs="Segoe UI"/>
          <w:b/>
          <w:bCs/>
          <w:color w:val="0F1115"/>
          <w:kern w:val="0"/>
          <w:lang w:eastAsia="fr-FR"/>
          <w14:ligatures w14:val="none"/>
        </w:rPr>
        <w:t xml:space="preserve">cohésion sociale </w:t>
      </w:r>
      <w:r w:rsidRPr="00677FC1">
        <w:rPr>
          <w:rFonts w:ascii="Segoe UI" w:eastAsia="Times New Roman" w:hAnsi="Segoe UI" w:cs="Segoe UI"/>
          <w:b/>
          <w:bCs/>
          <w:color w:val="0F1115"/>
          <w:kern w:val="0"/>
          <w:lang w:eastAsia="fr-FR"/>
          <w14:ligatures w14:val="none"/>
        </w:rPr>
        <w:lastRenderedPageBreak/>
        <w:t>(20%)</w:t>
      </w:r>
      <w:r w:rsidRPr="00677FC1">
        <w:rPr>
          <w:rFonts w:ascii="Segoe UI" w:eastAsia="Times New Roman" w:hAnsi="Segoe UI" w:cs="Segoe UI"/>
          <w:color w:val="0F1115"/>
          <w:kern w:val="0"/>
          <w:lang w:eastAsia="fr-FR"/>
          <w14:ligatures w14:val="none"/>
        </w:rPr>
        <w:t> , </w:t>
      </w:r>
      <w:r w:rsidRPr="00677FC1">
        <w:rPr>
          <w:rFonts w:ascii="Segoe UI" w:eastAsia="Times New Roman" w:hAnsi="Segoe UI" w:cs="Segoe UI"/>
          <w:b/>
          <w:bCs/>
          <w:color w:val="0F1115"/>
          <w:kern w:val="0"/>
          <w:lang w:eastAsia="fr-FR"/>
          <w14:ligatures w14:val="none"/>
        </w:rPr>
        <w:t>liberté et capacité d'innovation (15%)</w:t>
      </w:r>
      <w:r w:rsidRPr="00677FC1">
        <w:rPr>
          <w:rFonts w:ascii="Segoe UI" w:eastAsia="Times New Roman" w:hAnsi="Segoe UI" w:cs="Segoe UI"/>
          <w:color w:val="0F1115"/>
          <w:kern w:val="0"/>
          <w:lang w:eastAsia="fr-FR"/>
          <w14:ligatures w14:val="none"/>
        </w:rPr>
        <w:t> . Cette pondération est un choix politique, pas un verdict scientifique.</w:t>
      </w:r>
    </w:p>
    <w:p w14:paraId="68FD1030"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Cinq priorités stratégiques</w:t>
      </w:r>
    </w:p>
    <w:p w14:paraId="4F62F0A1" w14:textId="77777777" w:rsidR="00677FC1" w:rsidRPr="00677FC1" w:rsidRDefault="00677FC1" w:rsidP="00677FC1">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Assainissement des finances publiques</w:t>
      </w:r>
      <w:r w:rsidRPr="00677FC1">
        <w:rPr>
          <w:rFonts w:ascii="Segoe UI" w:eastAsia="Times New Roman" w:hAnsi="Segoe UI" w:cs="Segoe UI"/>
          <w:color w:val="0F1115"/>
          <w:kern w:val="0"/>
          <w:lang w:eastAsia="fr-FR"/>
          <w14:ligatures w14:val="none"/>
        </w:rPr>
        <w:t> : Sans crédibilité budgétaire, aucune souveraineté n'est possible. La charge d'intérêts (2e poste budgétaire, devant la Défense et la Recherche réunies) est un "poison" qui rogne toute marge de manœuvre .</w:t>
      </w:r>
    </w:p>
    <w:p w14:paraId="21B63F9C" w14:textId="77777777" w:rsidR="00677FC1" w:rsidRPr="00677FC1" w:rsidRDefault="00677FC1" w:rsidP="00677FC1">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Souveraineté industrielle, énergétique et technologique</w:t>
      </w:r>
      <w:r w:rsidRPr="00677FC1">
        <w:rPr>
          <w:rFonts w:ascii="Segoe UI" w:eastAsia="Times New Roman" w:hAnsi="Segoe UI" w:cs="Segoe UI"/>
          <w:color w:val="0F1115"/>
          <w:kern w:val="0"/>
          <w:lang w:eastAsia="fr-FR"/>
          <w14:ligatures w14:val="none"/>
        </w:rPr>
        <w:t> : Face à un monde fragmenté, la France doit réduire ses dépendances critiques (énergie, semi-conducteurs, matières premières, santé).</w:t>
      </w:r>
    </w:p>
    <w:p w14:paraId="67B30575" w14:textId="77777777" w:rsidR="00677FC1" w:rsidRPr="00677FC1" w:rsidRDefault="00677FC1" w:rsidP="00677FC1">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Réforme de l'État et efficacité de la dépense publique</w:t>
      </w:r>
      <w:r w:rsidRPr="00677FC1">
        <w:rPr>
          <w:rFonts w:ascii="Segoe UI" w:eastAsia="Times New Roman" w:hAnsi="Segoe UI" w:cs="Segoe UI"/>
          <w:color w:val="0F1115"/>
          <w:kern w:val="0"/>
          <w:lang w:eastAsia="fr-FR"/>
          <w14:ligatures w14:val="none"/>
        </w:rPr>
        <w:t> : La dépense publique à 56% du PIB n'est pas corrélée à la qualité du service rendu. Réforme des strates territoriales, modernisation numérique, lutte contre la fraude, revue des niches fiscales et sociales.</w:t>
      </w:r>
    </w:p>
    <w:p w14:paraId="59E545C6" w14:textId="77777777" w:rsidR="00677FC1" w:rsidRPr="00677FC1" w:rsidRDefault="00677FC1" w:rsidP="00677FC1">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Démographie, éducation et compétences</w:t>
      </w:r>
      <w:r w:rsidRPr="00677FC1">
        <w:rPr>
          <w:rFonts w:ascii="Segoe UI" w:eastAsia="Times New Roman" w:hAnsi="Segoe UI" w:cs="Segoe UI"/>
          <w:color w:val="0F1115"/>
          <w:kern w:val="0"/>
          <w:lang w:eastAsia="fr-FR"/>
          <w14:ligatures w14:val="none"/>
        </w:rPr>
        <w:t> : La fécondité est en baisse, le système éducatif produit des résultats en dégradation. Investir dans la petite enfance, la formation professionnelle et l'enseignement supérieur est un investissement de long terme.</w:t>
      </w:r>
    </w:p>
    <w:p w14:paraId="4BB2A8D3" w14:textId="77777777" w:rsidR="00677FC1" w:rsidRPr="00677FC1" w:rsidRDefault="00677FC1" w:rsidP="00677FC1">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Énergie et décarbonation compétitive</w:t>
      </w:r>
      <w:r w:rsidRPr="00677FC1">
        <w:rPr>
          <w:rFonts w:ascii="Segoe UI" w:eastAsia="Times New Roman" w:hAnsi="Segoe UI" w:cs="Segoe UI"/>
          <w:color w:val="0F1115"/>
          <w:kern w:val="0"/>
          <w:lang w:eastAsia="fr-FR"/>
          <w14:ligatures w14:val="none"/>
        </w:rPr>
        <w:t> : Sortie maîtrisée des énergies fossiles, avec un mix qui garantit prix compétitifs pour l'industrie et les ménages.</w:t>
      </w:r>
    </w:p>
    <w:p w14:paraId="20039613"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20360F2C">
          <v:rect id="_x0000_i1047" alt="" style="width:453.6pt;height:.05pt;mso-width-percent:0;mso-height-percent:0;mso-width-percent:0;mso-height-percent:0" o:hralign="center" o:hrstd="t" o:hr="t" fillcolor="#a0a0a0" stroked="f"/>
        </w:pict>
      </w:r>
    </w:p>
    <w:p w14:paraId="44A10E33" w14:textId="77777777" w:rsidR="00677FC1" w:rsidRPr="00677FC1" w:rsidRDefault="00677FC1" w:rsidP="00677FC1">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677FC1">
        <w:rPr>
          <w:rFonts w:ascii="Segoe UI" w:eastAsia="Times New Roman" w:hAnsi="Segoe UI" w:cs="Segoe UI"/>
          <w:b/>
          <w:bCs/>
          <w:color w:val="0F1115"/>
          <w:kern w:val="0"/>
          <w:sz w:val="33"/>
          <w:szCs w:val="33"/>
          <w:lang w:eastAsia="fr-FR"/>
          <w14:ligatures w14:val="none"/>
        </w:rPr>
        <w:t>ÉTAPE 2 — Programme détaillé par priorité (trois scénarios)</w:t>
      </w:r>
    </w:p>
    <w:p w14:paraId="71AA9650"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14DFA62B">
          <v:rect id="_x0000_i1046" alt="" style="width:453.6pt;height:.05pt;mso-width-percent:0;mso-height-percent:0;mso-width-percent:0;mso-height-percent:0" o:hralign="center" o:hrstd="t" o:hr="t" fillcolor="#a0a0a0" stroked="f"/>
        </w:pict>
      </w:r>
    </w:p>
    <w:p w14:paraId="38556875"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Priorité 1 : Assainissement des finances publiques</w:t>
      </w:r>
    </w:p>
    <w:p w14:paraId="3F9531D6" w14:textId="77777777" w:rsidR="00677FC1" w:rsidRPr="00677FC1" w:rsidRDefault="00677FC1" w:rsidP="00677FC1">
      <w:pPr>
        <w:shd w:val="clear" w:color="auto" w:fill="FFFFFF"/>
        <w:spacing w:before="240" w:after="240" w:line="420" w:lineRule="atLeast"/>
        <w:outlineLvl w:val="3"/>
        <w:rPr>
          <w:rFonts w:ascii="Segoe UI" w:eastAsia="Times New Roman" w:hAnsi="Segoe UI" w:cs="Segoe UI"/>
          <w:b/>
          <w:bCs/>
          <w:color w:val="0F1115"/>
          <w:kern w:val="0"/>
          <w:lang w:eastAsia="fr-FR"/>
          <w14:ligatures w14:val="none"/>
        </w:rPr>
      </w:pPr>
      <w:r w:rsidRPr="00677FC1">
        <w:rPr>
          <w:rFonts w:ascii="Segoe UI" w:eastAsia="Times New Roman" w:hAnsi="Segoe UI" w:cs="Segoe UI"/>
          <w:b/>
          <w:bCs/>
          <w:color w:val="0F1115"/>
          <w:kern w:val="0"/>
          <w:lang w:eastAsia="fr-FR"/>
          <w14:ligatures w14:val="none"/>
        </w:rPr>
        <w:t>Mesure 1A — Maîtrise de la dépense publique</w:t>
      </w:r>
    </w:p>
    <w:p w14:paraId="59A5B6B5"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PRUDENT</w:t>
      </w:r>
      <w:r w:rsidRPr="00677FC1">
        <w:rPr>
          <w:rFonts w:ascii="Segoe UI" w:eastAsia="Times New Roman" w:hAnsi="Segoe UI" w:cs="Segoe UI"/>
          <w:color w:val="0F1115"/>
          <w:kern w:val="0"/>
          <w:lang w:eastAsia="fr-FR"/>
          <w14:ligatures w14:val="none"/>
        </w:rPr>
        <w:t> (Économies : 8 Md€/an d'ici 2027)</w:t>
      </w:r>
    </w:p>
    <w:p w14:paraId="455F2109"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Gel en valeur de 50% des dépenses de fonctionnement des ministères (hors régalien).</w:t>
      </w:r>
    </w:p>
    <w:p w14:paraId="6D832398"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lastRenderedPageBreak/>
        <w:t>Réduction de 10% des effectifs de l'administration centrale sur 5 ans par non-remplacement (départs naturels).</w:t>
      </w:r>
    </w:p>
    <w:p w14:paraId="5AF96971"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Coût</w:t>
      </w:r>
      <w:r w:rsidRPr="00677FC1">
        <w:rPr>
          <w:rFonts w:ascii="Segoe UI" w:eastAsia="Times New Roman" w:hAnsi="Segoe UI" w:cs="Segoe UI"/>
          <w:color w:val="0F1115"/>
          <w:kern w:val="0"/>
          <w:lang w:eastAsia="fr-FR"/>
          <w14:ligatures w14:val="none"/>
        </w:rPr>
        <w:t> : 0 (économies)</w:t>
      </w:r>
    </w:p>
    <w:p w14:paraId="2D4EEB32"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Instrument</w:t>
      </w:r>
      <w:r w:rsidRPr="00677FC1">
        <w:rPr>
          <w:rFonts w:ascii="Segoe UI" w:eastAsia="Times New Roman" w:hAnsi="Segoe UI" w:cs="Segoe UI"/>
          <w:color w:val="0F1115"/>
          <w:kern w:val="0"/>
          <w:lang w:eastAsia="fr-FR"/>
          <w14:ligatures w14:val="none"/>
        </w:rPr>
        <w:t> : Loi de finances, décrets</w:t>
      </w:r>
    </w:p>
    <w:p w14:paraId="47A19A28"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2026-2027</w:t>
      </w:r>
    </w:p>
    <w:p w14:paraId="1DA3C4D4"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8 Md€/an à horizon 2027</w:t>
      </w:r>
    </w:p>
    <w:p w14:paraId="2EC2B9C1"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Résistance des corps d'État, baisse de qualité de service</w:t>
      </w:r>
    </w:p>
    <w:p w14:paraId="7F5CF88D"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Forte (reprise des recrutements possible à coût modéré)</w:t>
      </w:r>
    </w:p>
    <w:p w14:paraId="2CB83874" w14:textId="77777777" w:rsidR="00677FC1" w:rsidRPr="00677FC1" w:rsidRDefault="00677FC1" w:rsidP="00677FC1">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HYPOTHÈSE</w:t>
      </w:r>
      <w:r w:rsidRPr="00677FC1">
        <w:rPr>
          <w:rFonts w:ascii="Segoe UI" w:eastAsia="Times New Roman" w:hAnsi="Segoe UI" w:cs="Segoe UI"/>
          <w:color w:val="0F1115"/>
          <w:kern w:val="0"/>
          <w:lang w:eastAsia="fr-FR"/>
          <w14:ligatures w14:val="none"/>
        </w:rPr>
        <w:t> : Taux de départ naturel de 2,5%/an</w:t>
      </w:r>
    </w:p>
    <w:p w14:paraId="325A7DF4"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AMBITIEUX</w:t>
      </w:r>
      <w:r w:rsidRPr="00677FC1">
        <w:rPr>
          <w:rFonts w:ascii="Segoe UI" w:eastAsia="Times New Roman" w:hAnsi="Segoe UI" w:cs="Segoe UI"/>
          <w:color w:val="0F1115"/>
          <w:kern w:val="0"/>
          <w:lang w:eastAsia="fr-FR"/>
          <w14:ligatures w14:val="none"/>
        </w:rPr>
        <w:t> (Économies : 20 Md€/an d'ici 2027)</w:t>
      </w:r>
    </w:p>
    <w:p w14:paraId="549EBBE0"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Révision générale des politiques publiques (RGPP 2) : 15% des dépenses de fonctionnement revues.</w:t>
      </w:r>
    </w:p>
    <w:p w14:paraId="689A7017"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Réduction de 15% des effectifs de l'administration centrale et des opérateurs sur 5 ans.</w:t>
      </w:r>
    </w:p>
    <w:p w14:paraId="07CB1BE5"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Rationalisation des 35 000 communes : incitations financières aux fusions intercommunales.</w:t>
      </w:r>
    </w:p>
    <w:p w14:paraId="15F9C522"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Coût</w:t>
      </w:r>
      <w:r w:rsidRPr="00677FC1">
        <w:rPr>
          <w:rFonts w:ascii="Segoe UI" w:eastAsia="Times New Roman" w:hAnsi="Segoe UI" w:cs="Segoe UI"/>
          <w:color w:val="0F1115"/>
          <w:kern w:val="0"/>
          <w:lang w:eastAsia="fr-FR"/>
          <w14:ligatures w14:val="none"/>
        </w:rPr>
        <w:t> : 0 (économies)</w:t>
      </w:r>
    </w:p>
    <w:p w14:paraId="2A0C71E2"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Instrument</w:t>
      </w:r>
      <w:r w:rsidRPr="00677FC1">
        <w:rPr>
          <w:rFonts w:ascii="Segoe UI" w:eastAsia="Times New Roman" w:hAnsi="Segoe UI" w:cs="Segoe UI"/>
          <w:color w:val="0F1115"/>
          <w:kern w:val="0"/>
          <w:lang w:eastAsia="fr-FR"/>
          <w14:ligatures w14:val="none"/>
        </w:rPr>
        <w:t> : Loi de finances, loi de programmation, décrets</w:t>
      </w:r>
    </w:p>
    <w:p w14:paraId="3A79BE59"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2026-2028</w:t>
      </w:r>
    </w:p>
    <w:p w14:paraId="6B882E9A"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20 Md€/an</w:t>
      </w:r>
    </w:p>
    <w:p w14:paraId="6270B4B7"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Forte résistance politique et sociale</w:t>
      </w:r>
    </w:p>
    <w:p w14:paraId="18D1CA8B"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Moyenne</w:t>
      </w:r>
    </w:p>
    <w:p w14:paraId="4353E5DA" w14:textId="77777777" w:rsidR="00677FC1" w:rsidRPr="00677FC1" w:rsidRDefault="00677FC1" w:rsidP="00677FC1">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Indicateur</w:t>
      </w:r>
      <w:r w:rsidRPr="00677FC1">
        <w:rPr>
          <w:rFonts w:ascii="Segoe UI" w:eastAsia="Times New Roman" w:hAnsi="Segoe UI" w:cs="Segoe UI"/>
          <w:color w:val="0F1115"/>
          <w:kern w:val="0"/>
          <w:lang w:eastAsia="fr-FR"/>
          <w14:ligatures w14:val="none"/>
        </w:rPr>
        <w:t> : Évolution des effectifs publics, dépenses de fonctionnement par habitant</w:t>
      </w:r>
    </w:p>
    <w:p w14:paraId="04A5AE3F"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DISRUPTIF</w:t>
      </w:r>
      <w:r w:rsidRPr="00677FC1">
        <w:rPr>
          <w:rFonts w:ascii="Segoe UI" w:eastAsia="Times New Roman" w:hAnsi="Segoe UI" w:cs="Segoe UI"/>
          <w:color w:val="0F1115"/>
          <w:kern w:val="0"/>
          <w:lang w:eastAsia="fr-FR"/>
          <w14:ligatures w14:val="none"/>
        </w:rPr>
        <w:t> (Économies : 40 Md€/an d'ici 2028)</w:t>
      </w:r>
    </w:p>
    <w:p w14:paraId="631A5664"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Fusion des régions (de 13 à 6), suppression des départements, transfert de compétences aux intercommunalités.</w:t>
      </w:r>
    </w:p>
    <w:p w14:paraId="04711A51"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Baisse de 25% des effectifs de l'État et des collectivités sur 5 ans.</w:t>
      </w:r>
    </w:p>
    <w:p w14:paraId="020B3CB1"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Généralisation de l'administration numérique de bout en bout.</w:t>
      </w:r>
    </w:p>
    <w:p w14:paraId="04240CAD"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Coût</w:t>
      </w:r>
      <w:r w:rsidRPr="00677FC1">
        <w:rPr>
          <w:rFonts w:ascii="Segoe UI" w:eastAsia="Times New Roman" w:hAnsi="Segoe UI" w:cs="Segoe UI"/>
          <w:color w:val="0F1115"/>
          <w:kern w:val="0"/>
          <w:lang w:eastAsia="fr-FR"/>
          <w14:ligatures w14:val="none"/>
        </w:rPr>
        <w:t> : coût de transition estimé 5 Md€ sur 3 ans</w:t>
      </w:r>
    </w:p>
    <w:p w14:paraId="7606E911"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Instrument</w:t>
      </w:r>
      <w:r w:rsidRPr="00677FC1">
        <w:rPr>
          <w:rFonts w:ascii="Segoe UI" w:eastAsia="Times New Roman" w:hAnsi="Segoe UI" w:cs="Segoe UI"/>
          <w:color w:val="0F1115"/>
          <w:kern w:val="0"/>
          <w:lang w:eastAsia="fr-FR"/>
          <w14:ligatures w14:val="none"/>
        </w:rPr>
        <w:t> : Loi constitutionnelle, lois organiques, décrets</w:t>
      </w:r>
    </w:p>
    <w:p w14:paraId="02282610"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2026-2028</w:t>
      </w:r>
    </w:p>
    <w:p w14:paraId="5948ED6E"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40 Md€/an à l'horizon 2030</w:t>
      </w:r>
    </w:p>
    <w:p w14:paraId="5DC988F3"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maximal</w:t>
      </w:r>
      <w:r w:rsidRPr="00677FC1">
        <w:rPr>
          <w:rFonts w:ascii="Segoe UI" w:eastAsia="Times New Roman" w:hAnsi="Segoe UI" w:cs="Segoe UI"/>
          <w:color w:val="0F1115"/>
          <w:kern w:val="0"/>
          <w:lang w:eastAsia="fr-FR"/>
          <w14:ligatures w14:val="none"/>
        </w:rPr>
        <w:t> : Conflit avec collectivités, perte de proximité, grèves massives</w:t>
      </w:r>
    </w:p>
    <w:p w14:paraId="1797CA04"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Très faible (démantèlement institutionnel difficilement réversible)</w:t>
      </w:r>
    </w:p>
    <w:p w14:paraId="352DB8F8" w14:textId="77777777" w:rsidR="00677FC1" w:rsidRPr="00677FC1" w:rsidRDefault="00677FC1" w:rsidP="00677FC1">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Indicateur</w:t>
      </w:r>
      <w:r w:rsidRPr="00677FC1">
        <w:rPr>
          <w:rFonts w:ascii="Segoe UI" w:eastAsia="Times New Roman" w:hAnsi="Segoe UI" w:cs="Segoe UI"/>
          <w:color w:val="0F1115"/>
          <w:kern w:val="0"/>
          <w:lang w:eastAsia="fr-FR"/>
          <w14:ligatures w14:val="none"/>
        </w:rPr>
        <w:t> : Dépenses de fonctionnement par strate territoriale</w:t>
      </w:r>
    </w:p>
    <w:p w14:paraId="361DE0CE"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440C2C8D">
          <v:rect id="_x0000_i1045" alt="" style="width:453.6pt;height:.05pt;mso-width-percent:0;mso-height-percent:0;mso-width-percent:0;mso-height-percent:0" o:hralign="center" o:hrstd="t" o:hr="t" fillcolor="#a0a0a0" stroked="f"/>
        </w:pict>
      </w:r>
    </w:p>
    <w:p w14:paraId="33460917" w14:textId="77777777" w:rsidR="00677FC1" w:rsidRPr="00677FC1" w:rsidRDefault="00677FC1" w:rsidP="00677FC1">
      <w:pPr>
        <w:shd w:val="clear" w:color="auto" w:fill="FFFFFF"/>
        <w:spacing w:before="240" w:after="240" w:line="420" w:lineRule="atLeast"/>
        <w:outlineLvl w:val="3"/>
        <w:rPr>
          <w:rFonts w:ascii="Segoe UI" w:eastAsia="Times New Roman" w:hAnsi="Segoe UI" w:cs="Segoe UI"/>
          <w:b/>
          <w:bCs/>
          <w:color w:val="0F1115"/>
          <w:kern w:val="0"/>
          <w:lang w:eastAsia="fr-FR"/>
          <w14:ligatures w14:val="none"/>
        </w:rPr>
      </w:pPr>
      <w:r w:rsidRPr="00677FC1">
        <w:rPr>
          <w:rFonts w:ascii="Segoe UI" w:eastAsia="Times New Roman" w:hAnsi="Segoe UI" w:cs="Segoe UI"/>
          <w:b/>
          <w:bCs/>
          <w:color w:val="0F1115"/>
          <w:kern w:val="0"/>
          <w:lang w:eastAsia="fr-FR"/>
          <w14:ligatures w14:val="none"/>
        </w:rPr>
        <w:lastRenderedPageBreak/>
        <w:t>Mesure 1B — Réforme des retraites</w:t>
      </w:r>
    </w:p>
    <w:p w14:paraId="20D7916C"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Donnée FAIT</w:t>
      </w:r>
      <w:r w:rsidRPr="00677FC1">
        <w:rPr>
          <w:rFonts w:ascii="Segoe UI" w:eastAsia="Times New Roman" w:hAnsi="Segoe UI" w:cs="Segoe UI"/>
          <w:color w:val="0F1115"/>
          <w:kern w:val="0"/>
          <w:lang w:eastAsia="fr-FR"/>
          <w14:ligatures w14:val="none"/>
        </w:rPr>
        <w:t> : Déficit du système de retraite estimé à 6,6 Md€ en 2025, 15 Md€ en 2035, 30 Md€ en 2045 . L'accumulation des déficits ajouterait 470 Md€ à la dette d'ici 2045 .</w:t>
      </w:r>
    </w:p>
    <w:p w14:paraId="08F29C74"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PRUDENT</w:t>
      </w:r>
      <w:r w:rsidRPr="00677FC1">
        <w:rPr>
          <w:rFonts w:ascii="Segoe UI" w:eastAsia="Times New Roman" w:hAnsi="Segoe UI" w:cs="Segoe UI"/>
          <w:color w:val="0F1115"/>
          <w:kern w:val="0"/>
          <w:lang w:eastAsia="fr-FR"/>
          <w14:ligatures w14:val="none"/>
        </w:rPr>
        <w:t> (Économies : 3 Md€/an)</w:t>
      </w:r>
    </w:p>
    <w:p w14:paraId="5E68B4CD" w14:textId="77777777" w:rsidR="00677FC1" w:rsidRPr="00677FC1" w:rsidRDefault="00677FC1" w:rsidP="00677FC1">
      <w:pPr>
        <w:numPr>
          <w:ilvl w:val="0"/>
          <w:numId w:val="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Maintien de la réforme 2023 (âge légal 64 ans).</w:t>
      </w:r>
    </w:p>
    <w:p w14:paraId="71ED122F" w14:textId="77777777" w:rsidR="00677FC1" w:rsidRPr="00677FC1" w:rsidRDefault="00677FC1" w:rsidP="00677FC1">
      <w:pPr>
        <w:numPr>
          <w:ilvl w:val="0"/>
          <w:numId w:val="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Indexation des pensions sur l'inflation moins 0,3 point pendant 3 ans.</w:t>
      </w:r>
    </w:p>
    <w:p w14:paraId="2EDF7CA0" w14:textId="77777777" w:rsidR="00677FC1" w:rsidRPr="00677FC1" w:rsidRDefault="00677FC1" w:rsidP="00677FC1">
      <w:pPr>
        <w:numPr>
          <w:ilvl w:val="0"/>
          <w:numId w:val="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Coût</w:t>
      </w:r>
      <w:r w:rsidRPr="00677FC1">
        <w:rPr>
          <w:rFonts w:ascii="Segoe UI" w:eastAsia="Times New Roman" w:hAnsi="Segoe UI" w:cs="Segoe UI"/>
          <w:color w:val="0F1115"/>
          <w:kern w:val="0"/>
          <w:lang w:eastAsia="fr-FR"/>
          <w14:ligatures w14:val="none"/>
        </w:rPr>
        <w:t> : 0 (économies de 3 Md€/an)</w:t>
      </w:r>
    </w:p>
    <w:p w14:paraId="4EBCE103" w14:textId="77777777" w:rsidR="00677FC1" w:rsidRPr="00677FC1" w:rsidRDefault="00677FC1" w:rsidP="00677FC1">
      <w:pPr>
        <w:numPr>
          <w:ilvl w:val="0"/>
          <w:numId w:val="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Forte (rétablissement de l'indexation possible)</w:t>
      </w:r>
    </w:p>
    <w:p w14:paraId="3F111698"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AMBITIEUX</w:t>
      </w:r>
      <w:r w:rsidRPr="00677FC1">
        <w:rPr>
          <w:rFonts w:ascii="Segoe UI" w:eastAsia="Times New Roman" w:hAnsi="Segoe UI" w:cs="Segoe UI"/>
          <w:color w:val="0F1115"/>
          <w:kern w:val="0"/>
          <w:lang w:eastAsia="fr-FR"/>
          <w14:ligatures w14:val="none"/>
        </w:rPr>
        <w:t> (Économies : 10 Md€/an)</w:t>
      </w:r>
    </w:p>
    <w:p w14:paraId="0D9C8B48" w14:textId="77777777" w:rsidR="00677FC1" w:rsidRPr="00677FC1" w:rsidRDefault="00677FC1" w:rsidP="00677FC1">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Âge légal porté à 65 ans (comme préconisé par la Cour des comptes, +17,7 Md€ de recettes) .</w:t>
      </w:r>
    </w:p>
    <w:p w14:paraId="4997F643" w14:textId="77777777" w:rsidR="00677FC1" w:rsidRPr="00677FC1" w:rsidRDefault="00677FC1" w:rsidP="00677FC1">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Harmonisation des 42 régimes vers un régime unique par points.</w:t>
      </w:r>
    </w:p>
    <w:p w14:paraId="65CF4F84" w14:textId="77777777" w:rsidR="00677FC1" w:rsidRPr="00677FC1" w:rsidRDefault="00677FC1" w:rsidP="00677FC1">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Durée de cotisation portée à 44 annuités.</w:t>
      </w:r>
    </w:p>
    <w:p w14:paraId="5D2A595C" w14:textId="77777777" w:rsidR="00677FC1" w:rsidRPr="00677FC1" w:rsidRDefault="00677FC1" w:rsidP="00677FC1">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Coût</w:t>
      </w:r>
      <w:r w:rsidRPr="00677FC1">
        <w:rPr>
          <w:rFonts w:ascii="Segoe UI" w:eastAsia="Times New Roman" w:hAnsi="Segoe UI" w:cs="Segoe UI"/>
          <w:color w:val="0F1115"/>
          <w:kern w:val="0"/>
          <w:lang w:eastAsia="fr-FR"/>
          <w14:ligatures w14:val="none"/>
        </w:rPr>
        <w:t> : 0 (économies)</w:t>
      </w:r>
    </w:p>
    <w:p w14:paraId="3CB31988" w14:textId="77777777" w:rsidR="00677FC1" w:rsidRPr="00677FC1" w:rsidRDefault="00677FC1" w:rsidP="00677FC1">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2026-2028</w:t>
      </w:r>
    </w:p>
    <w:p w14:paraId="3DE73A97" w14:textId="77777777" w:rsidR="00677FC1" w:rsidRPr="00677FC1" w:rsidRDefault="00677FC1" w:rsidP="00677FC1">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Mobilisation sociale massive, similarité avec 2023</w:t>
      </w:r>
    </w:p>
    <w:p w14:paraId="6ABF97EE" w14:textId="77777777" w:rsidR="00677FC1" w:rsidRPr="00677FC1" w:rsidRDefault="00677FC1" w:rsidP="00677FC1">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Faible</w:t>
      </w:r>
    </w:p>
    <w:p w14:paraId="533486F0"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DISRUPTIF</w:t>
      </w:r>
      <w:r w:rsidRPr="00677FC1">
        <w:rPr>
          <w:rFonts w:ascii="Segoe UI" w:eastAsia="Times New Roman" w:hAnsi="Segoe UI" w:cs="Segoe UI"/>
          <w:color w:val="0F1115"/>
          <w:kern w:val="0"/>
          <w:lang w:eastAsia="fr-FR"/>
          <w14:ligatures w14:val="none"/>
        </w:rPr>
        <w:t> (Économies : 20 Md€/an)</w:t>
      </w:r>
    </w:p>
    <w:p w14:paraId="21297A3C" w14:textId="77777777" w:rsidR="00677FC1" w:rsidRPr="00677FC1" w:rsidRDefault="00677FC1" w:rsidP="00677FC1">
      <w:pPr>
        <w:numPr>
          <w:ilvl w:val="0"/>
          <w:numId w:val="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Âge pivot à 67 ans avec système de bonus/malus.</w:t>
      </w:r>
    </w:p>
    <w:p w14:paraId="4F43097E" w14:textId="77777777" w:rsidR="00677FC1" w:rsidRPr="00677FC1" w:rsidRDefault="00677FC1" w:rsidP="00677FC1">
      <w:pPr>
        <w:numPr>
          <w:ilvl w:val="0"/>
          <w:numId w:val="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Suppression des régimes spéciaux (hors métiers pénibles).</w:t>
      </w:r>
    </w:p>
    <w:p w14:paraId="59CFFB5E" w14:textId="77777777" w:rsidR="00677FC1" w:rsidRPr="00677FC1" w:rsidRDefault="00677FC1" w:rsidP="00677FC1">
      <w:pPr>
        <w:numPr>
          <w:ilvl w:val="0"/>
          <w:numId w:val="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Passage à un système par capitalisation complémentaire obligatoire.</w:t>
      </w:r>
    </w:p>
    <w:p w14:paraId="1AEB21C3" w14:textId="77777777" w:rsidR="00677FC1" w:rsidRPr="00677FC1" w:rsidRDefault="00677FC1" w:rsidP="00677FC1">
      <w:pPr>
        <w:numPr>
          <w:ilvl w:val="0"/>
          <w:numId w:val="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Coût</w:t>
      </w:r>
      <w:r w:rsidRPr="00677FC1">
        <w:rPr>
          <w:rFonts w:ascii="Segoe UI" w:eastAsia="Times New Roman" w:hAnsi="Segoe UI" w:cs="Segoe UI"/>
          <w:color w:val="0F1115"/>
          <w:kern w:val="0"/>
          <w:lang w:eastAsia="fr-FR"/>
          <w14:ligatures w14:val="none"/>
        </w:rPr>
        <w:t> : coût de transition estimé 15 Md€ sur 5 ans</w:t>
      </w:r>
    </w:p>
    <w:p w14:paraId="497AFCCC" w14:textId="77777777" w:rsidR="00677FC1" w:rsidRPr="00677FC1" w:rsidRDefault="00677FC1" w:rsidP="00677FC1">
      <w:pPr>
        <w:numPr>
          <w:ilvl w:val="0"/>
          <w:numId w:val="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maximal</w:t>
      </w:r>
      <w:r w:rsidRPr="00677FC1">
        <w:rPr>
          <w:rFonts w:ascii="Segoe UI" w:eastAsia="Times New Roman" w:hAnsi="Segoe UI" w:cs="Segoe UI"/>
          <w:color w:val="0F1115"/>
          <w:kern w:val="0"/>
          <w:lang w:eastAsia="fr-FR"/>
          <w14:ligatures w14:val="none"/>
        </w:rPr>
        <w:t> : Grève générale, contestation constitutionnelle</w:t>
      </w:r>
    </w:p>
    <w:p w14:paraId="0E40F87A" w14:textId="77777777" w:rsidR="00677FC1" w:rsidRPr="00677FC1" w:rsidRDefault="00677FC1" w:rsidP="00677FC1">
      <w:pPr>
        <w:numPr>
          <w:ilvl w:val="0"/>
          <w:numId w:val="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Négligeable</w:t>
      </w:r>
    </w:p>
    <w:p w14:paraId="6D89160B"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432DB477">
          <v:rect id="_x0000_i1044" alt="" style="width:453.6pt;height:.05pt;mso-width-percent:0;mso-height-percent:0;mso-width-percent:0;mso-height-percent:0" o:hralign="center" o:hrstd="t" o:hr="t" fillcolor="#a0a0a0" stroked="f"/>
        </w:pict>
      </w:r>
    </w:p>
    <w:p w14:paraId="3F1F86E7" w14:textId="77777777" w:rsidR="00677FC1" w:rsidRPr="00677FC1" w:rsidRDefault="00677FC1" w:rsidP="00677FC1">
      <w:pPr>
        <w:shd w:val="clear" w:color="auto" w:fill="FFFFFF"/>
        <w:spacing w:before="240" w:after="240" w:line="420" w:lineRule="atLeast"/>
        <w:outlineLvl w:val="3"/>
        <w:rPr>
          <w:rFonts w:ascii="Segoe UI" w:eastAsia="Times New Roman" w:hAnsi="Segoe UI" w:cs="Segoe UI"/>
          <w:b/>
          <w:bCs/>
          <w:color w:val="0F1115"/>
          <w:kern w:val="0"/>
          <w:lang w:eastAsia="fr-FR"/>
          <w14:ligatures w14:val="none"/>
        </w:rPr>
      </w:pPr>
      <w:r w:rsidRPr="00677FC1">
        <w:rPr>
          <w:rFonts w:ascii="Segoe UI" w:eastAsia="Times New Roman" w:hAnsi="Segoe UI" w:cs="Segoe UI"/>
          <w:b/>
          <w:bCs/>
          <w:color w:val="0F1115"/>
          <w:kern w:val="0"/>
          <w:lang w:eastAsia="fr-FR"/>
          <w14:ligatures w14:val="none"/>
        </w:rPr>
        <w:t>Mesure 1C — Révision des niches fiscales</w:t>
      </w:r>
    </w:p>
    <w:p w14:paraId="37871CC4"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Donnée FAIT</w:t>
      </w:r>
      <w:r w:rsidRPr="00677FC1">
        <w:rPr>
          <w:rFonts w:ascii="Segoe UI" w:eastAsia="Times New Roman" w:hAnsi="Segoe UI" w:cs="Segoe UI"/>
          <w:color w:val="0F1115"/>
          <w:kern w:val="0"/>
          <w:lang w:eastAsia="fr-FR"/>
          <w14:ligatures w14:val="none"/>
        </w:rPr>
        <w:t> : La France a le plus haut taux de prélèvements obligatoires de la zone euro (~43,9% PIB) . La Cour des comptes alerte que "les hausses d'impôts ne peuvent plus être la solution" .</w:t>
      </w:r>
    </w:p>
    <w:p w14:paraId="556764AB"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PRUDENT</w:t>
      </w:r>
      <w:r w:rsidRPr="00677FC1">
        <w:rPr>
          <w:rFonts w:ascii="Segoe UI" w:eastAsia="Times New Roman" w:hAnsi="Segoe UI" w:cs="Segoe UI"/>
          <w:color w:val="0F1115"/>
          <w:kern w:val="0"/>
          <w:lang w:eastAsia="fr-FR"/>
          <w14:ligatures w14:val="none"/>
        </w:rPr>
        <w:t> (Recettes nouvelles : 5 Md€/an)</w:t>
      </w:r>
    </w:p>
    <w:p w14:paraId="7A8DC950" w14:textId="77777777" w:rsidR="00677FC1" w:rsidRPr="00677FC1" w:rsidRDefault="00677FC1" w:rsidP="00677FC1">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Plafonnement de l'ensemble des niches fiscales à 10 000€/foyer.</w:t>
      </w:r>
    </w:p>
    <w:p w14:paraId="2C70F00F" w14:textId="77777777" w:rsidR="00677FC1" w:rsidRPr="00677FC1" w:rsidRDefault="00677FC1" w:rsidP="00677FC1">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lastRenderedPageBreak/>
        <w:t>Suppression de 5 niches les moins efficaces (évaluation préalable par France Stratégie).</w:t>
      </w:r>
    </w:p>
    <w:p w14:paraId="03B63BCE" w14:textId="77777777" w:rsidR="00677FC1" w:rsidRPr="00677FC1" w:rsidRDefault="00677FC1" w:rsidP="00677FC1">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Instrument</w:t>
      </w:r>
      <w:r w:rsidRPr="00677FC1">
        <w:rPr>
          <w:rFonts w:ascii="Segoe UI" w:eastAsia="Times New Roman" w:hAnsi="Segoe UI" w:cs="Segoe UI"/>
          <w:color w:val="0F1115"/>
          <w:kern w:val="0"/>
          <w:lang w:eastAsia="fr-FR"/>
          <w14:ligatures w14:val="none"/>
        </w:rPr>
        <w:t> : Loi de finances</w:t>
      </w:r>
    </w:p>
    <w:p w14:paraId="012104D6" w14:textId="77777777" w:rsidR="00677FC1" w:rsidRPr="00677FC1" w:rsidRDefault="00677FC1" w:rsidP="00677FC1">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2027</w:t>
      </w:r>
    </w:p>
    <w:p w14:paraId="6AC345A7" w14:textId="77777777" w:rsidR="00677FC1" w:rsidRPr="00677FC1" w:rsidRDefault="00677FC1" w:rsidP="00677FC1">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Lobbys, contentieux</w:t>
      </w:r>
    </w:p>
    <w:p w14:paraId="6054158C" w14:textId="77777777" w:rsidR="00677FC1" w:rsidRPr="00677FC1" w:rsidRDefault="00677FC1" w:rsidP="00677FC1">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Forte</w:t>
      </w:r>
    </w:p>
    <w:p w14:paraId="14CB8729"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AMBITIEUX</w:t>
      </w:r>
      <w:r w:rsidRPr="00677FC1">
        <w:rPr>
          <w:rFonts w:ascii="Segoe UI" w:eastAsia="Times New Roman" w:hAnsi="Segoe UI" w:cs="Segoe UI"/>
          <w:color w:val="0F1115"/>
          <w:kern w:val="0"/>
          <w:lang w:eastAsia="fr-FR"/>
          <w14:ligatures w14:val="none"/>
        </w:rPr>
        <w:t> (Recettes nouvelles : 15 Md€/an)</w:t>
      </w:r>
    </w:p>
    <w:p w14:paraId="5F0CE791" w14:textId="77777777" w:rsidR="00677FC1" w:rsidRPr="00677FC1" w:rsidRDefault="00677FC1" w:rsidP="00677FC1">
      <w:pPr>
        <w:numPr>
          <w:ilvl w:val="0"/>
          <w:numId w:val="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Revue exhaustive des 500 niches fiscales et sociales : suppression de 50% d'entre elles sur 5 ans.</w:t>
      </w:r>
    </w:p>
    <w:p w14:paraId="0D1C7DF2" w14:textId="77777777" w:rsidR="00677FC1" w:rsidRPr="00677FC1" w:rsidRDefault="00677FC1" w:rsidP="00677FC1">
      <w:pPr>
        <w:numPr>
          <w:ilvl w:val="0"/>
          <w:numId w:val="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Suppression du taux réduit de TVA sur certains produits (hors alimentation de base).</w:t>
      </w:r>
    </w:p>
    <w:p w14:paraId="19185F58" w14:textId="77777777" w:rsidR="00677FC1" w:rsidRPr="00677FC1" w:rsidRDefault="00677FC1" w:rsidP="00677FC1">
      <w:pPr>
        <w:numPr>
          <w:ilvl w:val="0"/>
          <w:numId w:val="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Imposition effective minimale des grandes entreprises à 15%.</w:t>
      </w:r>
    </w:p>
    <w:p w14:paraId="570E6FCF" w14:textId="77777777" w:rsidR="00677FC1" w:rsidRPr="00677FC1" w:rsidRDefault="00677FC1" w:rsidP="00677FC1">
      <w:pPr>
        <w:numPr>
          <w:ilvl w:val="0"/>
          <w:numId w:val="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2026-2028</w:t>
      </w:r>
    </w:p>
    <w:p w14:paraId="5FE444EB" w14:textId="77777777" w:rsidR="00677FC1" w:rsidRPr="00677FC1" w:rsidRDefault="00677FC1" w:rsidP="00677FC1">
      <w:pPr>
        <w:numPr>
          <w:ilvl w:val="0"/>
          <w:numId w:val="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Forte opposition des secteurs concernés</w:t>
      </w:r>
    </w:p>
    <w:p w14:paraId="5334DAB7" w14:textId="77777777" w:rsidR="00677FC1" w:rsidRPr="00677FC1" w:rsidRDefault="00677FC1" w:rsidP="00677FC1">
      <w:pPr>
        <w:numPr>
          <w:ilvl w:val="0"/>
          <w:numId w:val="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Moyenne</w:t>
      </w:r>
    </w:p>
    <w:p w14:paraId="2DB7752D"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DISRUPTIF</w:t>
      </w:r>
      <w:r w:rsidRPr="00677FC1">
        <w:rPr>
          <w:rFonts w:ascii="Segoe UI" w:eastAsia="Times New Roman" w:hAnsi="Segoe UI" w:cs="Segoe UI"/>
          <w:color w:val="0F1115"/>
          <w:kern w:val="0"/>
          <w:lang w:eastAsia="fr-FR"/>
          <w14:ligatures w14:val="none"/>
        </w:rPr>
        <w:t> (Recettes nouvelles : 35 Md€/an)</w:t>
      </w:r>
    </w:p>
    <w:p w14:paraId="7216F8E4" w14:textId="77777777" w:rsidR="00677FC1" w:rsidRPr="00677FC1" w:rsidRDefault="00677FC1" w:rsidP="00677FC1">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Suppression de 80% des niches fiscales, remplacement par un crédit d'impôt unique.</w:t>
      </w:r>
    </w:p>
    <w:p w14:paraId="76572FD9" w14:textId="77777777" w:rsidR="00677FC1" w:rsidRPr="00677FC1" w:rsidRDefault="00677FC1" w:rsidP="00677FC1">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Fusion de l'impôt sur le revenu et de la CSG en un impôt progressif unique.</w:t>
      </w:r>
    </w:p>
    <w:p w14:paraId="09D37CC4" w14:textId="77777777" w:rsidR="00677FC1" w:rsidRPr="00677FC1" w:rsidRDefault="00677FC1" w:rsidP="00677FC1">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Taxe sur les transactions financières portée à 1%.</w:t>
      </w:r>
    </w:p>
    <w:p w14:paraId="11661218" w14:textId="77777777" w:rsidR="00677FC1" w:rsidRPr="00677FC1" w:rsidRDefault="00677FC1" w:rsidP="00677FC1">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maximal</w:t>
      </w:r>
      <w:r w:rsidRPr="00677FC1">
        <w:rPr>
          <w:rFonts w:ascii="Segoe UI" w:eastAsia="Times New Roman" w:hAnsi="Segoe UI" w:cs="Segoe UI"/>
          <w:color w:val="0F1115"/>
          <w:kern w:val="0"/>
          <w:lang w:eastAsia="fr-FR"/>
          <w14:ligatures w14:val="none"/>
        </w:rPr>
        <w:t> : Délocalisations, fuite des capitaux</w:t>
      </w:r>
    </w:p>
    <w:p w14:paraId="13D0E09D" w14:textId="77777777" w:rsidR="00677FC1" w:rsidRPr="00677FC1" w:rsidRDefault="00677FC1" w:rsidP="00677FC1">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Faible</w:t>
      </w:r>
    </w:p>
    <w:p w14:paraId="4F459BDC" w14:textId="77777777" w:rsidR="00677FC1" w:rsidRPr="00677FC1" w:rsidRDefault="00677FC1" w:rsidP="00677FC1">
      <w:pPr>
        <w:spacing w:before="480" w:after="480" w:line="240" w:lineRule="auto"/>
        <w:rPr>
          <w:rFonts w:ascii="Segoe UI" w:eastAsia="Times New Roman" w:hAnsi="Segoe UI" w:cs="Segoe UI"/>
          <w:kern w:val="0"/>
          <w:lang w:eastAsia="fr-FR"/>
          <w14:ligatures w14:val="none"/>
        </w:rPr>
      </w:pPr>
      <w:r w:rsidRPr="00677FC1">
        <w:rPr>
          <w:rFonts w:ascii="Times New Roman" w:eastAsia="Times New Roman" w:hAnsi="Times New Roman" w:cs="Times New Roman"/>
          <w:kern w:val="0"/>
          <w:lang w:eastAsia="fr-FR"/>
          <w14:ligatures w14:val="none"/>
        </w:rPr>
        <w:pict w14:anchorId="7A1F6A84">
          <v:rect id="_x0000_i1031" style="width:0;height:.75pt" o:hralign="center" o:hrstd="t" o:hr="t" fillcolor="#a0a0a0" stroked="f"/>
        </w:pict>
      </w:r>
    </w:p>
    <w:p w14:paraId="3C7922EF"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Priorité 2 : Souveraineté industrielle, énergétique et technologique</w:t>
      </w:r>
    </w:p>
    <w:p w14:paraId="0E3E06C4" w14:textId="77777777" w:rsidR="00677FC1" w:rsidRPr="00677FC1" w:rsidRDefault="00677FC1" w:rsidP="00677FC1">
      <w:pPr>
        <w:shd w:val="clear" w:color="auto" w:fill="FFFFFF"/>
        <w:spacing w:before="240" w:after="240" w:line="420" w:lineRule="atLeast"/>
        <w:outlineLvl w:val="3"/>
        <w:rPr>
          <w:rFonts w:ascii="Segoe UI" w:eastAsia="Times New Roman" w:hAnsi="Segoe UI" w:cs="Segoe UI"/>
          <w:b/>
          <w:bCs/>
          <w:color w:val="0F1115"/>
          <w:kern w:val="0"/>
          <w:lang w:eastAsia="fr-FR"/>
          <w14:ligatures w14:val="none"/>
        </w:rPr>
      </w:pPr>
      <w:r w:rsidRPr="00677FC1">
        <w:rPr>
          <w:rFonts w:ascii="Segoe UI" w:eastAsia="Times New Roman" w:hAnsi="Segoe UI" w:cs="Segoe UI"/>
          <w:b/>
          <w:bCs/>
          <w:color w:val="0F1115"/>
          <w:kern w:val="0"/>
          <w:lang w:eastAsia="fr-FR"/>
          <w14:ligatures w14:val="none"/>
        </w:rPr>
        <w:t>Mesure 2A — Défense et sécurité</w:t>
      </w:r>
    </w:p>
    <w:p w14:paraId="7C963BCE"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Donnée FAIT</w:t>
      </w:r>
      <w:r w:rsidRPr="00677FC1">
        <w:rPr>
          <w:rFonts w:ascii="Segoe UI" w:eastAsia="Times New Roman" w:hAnsi="Segoe UI" w:cs="Segoe UI"/>
          <w:color w:val="0F1115"/>
          <w:kern w:val="0"/>
          <w:lang w:eastAsia="fr-FR"/>
          <w14:ligatures w14:val="none"/>
        </w:rPr>
        <w:t> : Budget défense actuel ~50 Md€ (2% PIB). La charge d'intérêts de la dette (74 Md€ en 2026) dépasse déjà le budget de la Défense .</w:t>
      </w:r>
    </w:p>
    <w:p w14:paraId="2A814D4A"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PRUDENT</w:t>
      </w:r>
      <w:r w:rsidRPr="00677FC1">
        <w:rPr>
          <w:rFonts w:ascii="Segoe UI" w:eastAsia="Times New Roman" w:hAnsi="Segoe UI" w:cs="Segoe UI"/>
          <w:color w:val="0F1115"/>
          <w:kern w:val="0"/>
          <w:lang w:eastAsia="fr-FR"/>
          <w14:ligatures w14:val="none"/>
        </w:rPr>
        <w:t> (Investissement : +5 Md€/an)</w:t>
      </w:r>
    </w:p>
    <w:p w14:paraId="3D7EE8AC" w14:textId="77777777" w:rsidR="00677FC1" w:rsidRPr="00677FC1" w:rsidRDefault="00677FC1" w:rsidP="00677FC1">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Augmentation du budget défense de 2% à 2,3% PIB d'ici 2028.</w:t>
      </w:r>
    </w:p>
    <w:p w14:paraId="48B0F1B0" w14:textId="77777777" w:rsidR="00677FC1" w:rsidRPr="00677FC1" w:rsidRDefault="00677FC1" w:rsidP="00677FC1">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Priorité : drones, cyberdéfense, intelligence artificielle.</w:t>
      </w:r>
    </w:p>
    <w:p w14:paraId="4734D9A9" w14:textId="77777777" w:rsidR="00677FC1" w:rsidRPr="00677FC1" w:rsidRDefault="00677FC1" w:rsidP="00677FC1">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Économies sur la dépense publique (Mesure 1A)</w:t>
      </w:r>
    </w:p>
    <w:p w14:paraId="518EF160" w14:textId="77777777" w:rsidR="00677FC1" w:rsidRPr="00677FC1" w:rsidRDefault="00677FC1" w:rsidP="00677FC1">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Effet d'entraînement industriel (aéronautique, électronique)</w:t>
      </w:r>
    </w:p>
    <w:p w14:paraId="73CEC690" w14:textId="77777777" w:rsidR="00677FC1" w:rsidRPr="00677FC1" w:rsidRDefault="00677FC1" w:rsidP="00677FC1">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lastRenderedPageBreak/>
        <w:t>Risque</w:t>
      </w:r>
      <w:r w:rsidRPr="00677FC1">
        <w:rPr>
          <w:rFonts w:ascii="Segoe UI" w:eastAsia="Times New Roman" w:hAnsi="Segoe UI" w:cs="Segoe UI"/>
          <w:color w:val="0F1115"/>
          <w:kern w:val="0"/>
          <w:lang w:eastAsia="fr-FR"/>
          <w14:ligatures w14:val="none"/>
        </w:rPr>
        <w:t> : Non-atteinte des objectifs de recrutement</w:t>
      </w:r>
    </w:p>
    <w:p w14:paraId="5EA48895" w14:textId="77777777" w:rsidR="00677FC1" w:rsidRPr="00677FC1" w:rsidRDefault="00677FC1" w:rsidP="00677FC1">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Forte</w:t>
      </w:r>
    </w:p>
    <w:p w14:paraId="6918A926"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AMBITIEUX</w:t>
      </w:r>
      <w:r w:rsidRPr="00677FC1">
        <w:rPr>
          <w:rFonts w:ascii="Segoe UI" w:eastAsia="Times New Roman" w:hAnsi="Segoe UI" w:cs="Segoe UI"/>
          <w:color w:val="0F1115"/>
          <w:kern w:val="0"/>
          <w:lang w:eastAsia="fr-FR"/>
          <w14:ligatures w14:val="none"/>
        </w:rPr>
        <w:t> (Investissement : +15 Md€/an)</w:t>
      </w:r>
    </w:p>
    <w:p w14:paraId="721DFBA8" w14:textId="77777777" w:rsidR="00677FC1" w:rsidRPr="00677FC1" w:rsidRDefault="00677FC1" w:rsidP="00677FC1">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Budget défense porté à 2,8% PIB d'ici 2030.</w:t>
      </w:r>
    </w:p>
    <w:p w14:paraId="034C489B" w14:textId="77777777" w:rsidR="00677FC1" w:rsidRPr="00677FC1" w:rsidRDefault="00677FC1" w:rsidP="00677FC1">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Plan de souveraineté des munitions et équipements critiques.</w:t>
      </w:r>
    </w:p>
    <w:p w14:paraId="208A1D6E" w14:textId="77777777" w:rsidR="00677FC1" w:rsidRPr="00677FC1" w:rsidRDefault="00677FC1" w:rsidP="00677FC1">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Pacte de souveraineté européen : mutualisation des achats.</w:t>
      </w:r>
    </w:p>
    <w:p w14:paraId="6D97C480" w14:textId="77777777" w:rsidR="00677FC1" w:rsidRPr="00677FC1" w:rsidRDefault="00677FC1" w:rsidP="00677FC1">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Économies (Mesure 1A) + emprunt sécurisé à 30 ans</w:t>
      </w:r>
    </w:p>
    <w:p w14:paraId="725A548A" w14:textId="77777777" w:rsidR="00677FC1" w:rsidRPr="00677FC1" w:rsidRDefault="00677FC1" w:rsidP="00677FC1">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Création d'un écosystème industriel souverain</w:t>
      </w:r>
    </w:p>
    <w:p w14:paraId="0E6A1D82" w14:textId="77777777" w:rsidR="00677FC1" w:rsidRPr="00677FC1" w:rsidRDefault="00677FC1" w:rsidP="00677FC1">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Pression sur le déficit à court terme</w:t>
      </w:r>
    </w:p>
    <w:p w14:paraId="17FAC2F2" w14:textId="77777777" w:rsidR="00677FC1" w:rsidRPr="00677FC1" w:rsidRDefault="00677FC1" w:rsidP="00677FC1">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Moyenne</w:t>
      </w:r>
    </w:p>
    <w:p w14:paraId="0A1572AB"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DISRUPTIF</w:t>
      </w:r>
      <w:r w:rsidRPr="00677FC1">
        <w:rPr>
          <w:rFonts w:ascii="Segoe UI" w:eastAsia="Times New Roman" w:hAnsi="Segoe UI" w:cs="Segoe UI"/>
          <w:color w:val="0F1115"/>
          <w:kern w:val="0"/>
          <w:lang w:eastAsia="fr-FR"/>
          <w14:ligatures w14:val="none"/>
        </w:rPr>
        <w:t> (Investissement : +30 Md€/an)</w:t>
      </w:r>
    </w:p>
    <w:p w14:paraId="73DCB8CC" w14:textId="77777777" w:rsidR="00677FC1" w:rsidRPr="00677FC1" w:rsidRDefault="00677FC1" w:rsidP="00677FC1">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Budget défense porté à 3,5% PIB.</w:t>
      </w:r>
    </w:p>
    <w:p w14:paraId="75AA7087" w14:textId="77777777" w:rsidR="00677FC1" w:rsidRPr="00677FC1" w:rsidRDefault="00677FC1" w:rsidP="00677FC1">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Dissuasion élargie, composante spatiale, défense antimissile européenne.</w:t>
      </w:r>
    </w:p>
    <w:p w14:paraId="26ABE601" w14:textId="77777777" w:rsidR="00677FC1" w:rsidRPr="00677FC1" w:rsidRDefault="00677FC1" w:rsidP="00677FC1">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Industrie de défense 100% souveraine (semi-conducteurs, moteurs, optronique).</w:t>
      </w:r>
    </w:p>
    <w:p w14:paraId="2BA36AB0" w14:textId="77777777" w:rsidR="00677FC1" w:rsidRPr="00677FC1" w:rsidRDefault="00677FC1" w:rsidP="00677FC1">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Création d'une "taxe souveraineté" sur les importations extra-européennes + émission d'obligations "sécurité nationale"</w:t>
      </w:r>
    </w:p>
    <w:p w14:paraId="3740AFDD" w14:textId="77777777" w:rsidR="00677FC1" w:rsidRPr="00677FC1" w:rsidRDefault="00677FC1" w:rsidP="00677FC1">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Changement d'échelle de la base industrielle et technologique</w:t>
      </w:r>
    </w:p>
    <w:p w14:paraId="47A78787" w14:textId="77777777" w:rsidR="00677FC1" w:rsidRPr="00677FC1" w:rsidRDefault="00677FC1" w:rsidP="00677FC1">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maximal</w:t>
      </w:r>
      <w:r w:rsidRPr="00677FC1">
        <w:rPr>
          <w:rFonts w:ascii="Segoe UI" w:eastAsia="Times New Roman" w:hAnsi="Segoe UI" w:cs="Segoe UI"/>
          <w:color w:val="0F1115"/>
          <w:kern w:val="0"/>
          <w:lang w:eastAsia="fr-FR"/>
          <w14:ligatures w14:val="none"/>
        </w:rPr>
        <w:t> : Dégradation de la note souveraine, "crowding out" des autres investissements</w:t>
      </w:r>
    </w:p>
    <w:p w14:paraId="01072282" w14:textId="77777777" w:rsidR="00677FC1" w:rsidRPr="00677FC1" w:rsidRDefault="00677FC1" w:rsidP="00677FC1">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Faible</w:t>
      </w:r>
    </w:p>
    <w:p w14:paraId="09C38E40" w14:textId="77777777" w:rsidR="00677FC1" w:rsidRPr="00677FC1" w:rsidRDefault="00677FC1" w:rsidP="00677FC1">
      <w:pPr>
        <w:spacing w:before="480" w:after="480" w:line="240" w:lineRule="auto"/>
        <w:rPr>
          <w:rFonts w:ascii="Segoe UI" w:eastAsia="Times New Roman" w:hAnsi="Segoe UI" w:cs="Segoe UI"/>
          <w:kern w:val="0"/>
          <w:lang w:eastAsia="fr-FR"/>
          <w14:ligatures w14:val="none"/>
        </w:rPr>
      </w:pPr>
      <w:r w:rsidRPr="00677FC1">
        <w:rPr>
          <w:rFonts w:ascii="Times New Roman" w:eastAsia="Times New Roman" w:hAnsi="Times New Roman" w:cs="Times New Roman"/>
          <w:kern w:val="0"/>
          <w:lang w:eastAsia="fr-FR"/>
          <w14:ligatures w14:val="none"/>
        </w:rPr>
        <w:pict w14:anchorId="22463F11">
          <v:rect id="_x0000_i1032" style="width:0;height:.75pt" o:hralign="center" o:hrstd="t" o:hr="t" fillcolor="#a0a0a0" stroked="f"/>
        </w:pict>
      </w:r>
    </w:p>
    <w:p w14:paraId="2E34E97F" w14:textId="77777777" w:rsidR="00677FC1" w:rsidRPr="00677FC1" w:rsidRDefault="00677FC1" w:rsidP="00677FC1">
      <w:pPr>
        <w:shd w:val="clear" w:color="auto" w:fill="FFFFFF"/>
        <w:spacing w:before="240" w:after="240" w:line="420" w:lineRule="atLeast"/>
        <w:outlineLvl w:val="3"/>
        <w:rPr>
          <w:rFonts w:ascii="Segoe UI" w:eastAsia="Times New Roman" w:hAnsi="Segoe UI" w:cs="Segoe UI"/>
          <w:b/>
          <w:bCs/>
          <w:color w:val="0F1115"/>
          <w:kern w:val="0"/>
          <w:lang w:eastAsia="fr-FR"/>
          <w14:ligatures w14:val="none"/>
        </w:rPr>
      </w:pPr>
      <w:r w:rsidRPr="00677FC1">
        <w:rPr>
          <w:rFonts w:ascii="Segoe UI" w:eastAsia="Times New Roman" w:hAnsi="Segoe UI" w:cs="Segoe UI"/>
          <w:b/>
          <w:bCs/>
          <w:color w:val="0F1115"/>
          <w:kern w:val="0"/>
          <w:lang w:eastAsia="fr-FR"/>
          <w14:ligatures w14:val="none"/>
        </w:rPr>
        <w:t>Mesure 2B — Énergie</w:t>
      </w:r>
    </w:p>
    <w:p w14:paraId="3EEE6D9D"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PRUDENT</w:t>
      </w:r>
      <w:r w:rsidRPr="00677FC1">
        <w:rPr>
          <w:rFonts w:ascii="Segoe UI" w:eastAsia="Times New Roman" w:hAnsi="Segoe UI" w:cs="Segoe UI"/>
          <w:color w:val="0F1115"/>
          <w:kern w:val="0"/>
          <w:lang w:eastAsia="fr-FR"/>
          <w14:ligatures w14:val="none"/>
        </w:rPr>
        <w:t> (Investissement : +5 Md€/an)</w:t>
      </w:r>
    </w:p>
    <w:p w14:paraId="5BEFF245" w14:textId="77777777" w:rsidR="00677FC1" w:rsidRPr="00677FC1" w:rsidRDefault="00677FC1" w:rsidP="00677FC1">
      <w:pPr>
        <w:numPr>
          <w:ilvl w:val="0"/>
          <w:numId w:val="1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Extension de la durée de vie du parc nucléaire (10 réacteurs supplémentaires à 60 ans).</w:t>
      </w:r>
    </w:p>
    <w:p w14:paraId="1F2E1537" w14:textId="77777777" w:rsidR="00677FC1" w:rsidRPr="00677FC1" w:rsidRDefault="00677FC1" w:rsidP="00677FC1">
      <w:pPr>
        <w:numPr>
          <w:ilvl w:val="0"/>
          <w:numId w:val="1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Accélération du photovoltaïque et éolien offshore (objectif : 30 GW).</w:t>
      </w:r>
    </w:p>
    <w:p w14:paraId="45F091C8" w14:textId="77777777" w:rsidR="00677FC1" w:rsidRPr="00677FC1" w:rsidRDefault="00677FC1" w:rsidP="00677FC1">
      <w:pPr>
        <w:numPr>
          <w:ilvl w:val="0"/>
          <w:numId w:val="1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Plan de sobriété énergétique dans les bâtiments publics.</w:t>
      </w:r>
    </w:p>
    <w:p w14:paraId="39158557" w14:textId="77777777" w:rsidR="00677FC1" w:rsidRPr="00677FC1" w:rsidRDefault="00677FC1" w:rsidP="00677FC1">
      <w:pPr>
        <w:numPr>
          <w:ilvl w:val="0"/>
          <w:numId w:val="1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Fonds de 25 Md€ sur 5 ans (recours à l'emprunt)</w:t>
      </w:r>
    </w:p>
    <w:p w14:paraId="09A932BA" w14:textId="77777777" w:rsidR="00677FC1" w:rsidRPr="00677FC1" w:rsidRDefault="00677FC1" w:rsidP="00677FC1">
      <w:pPr>
        <w:numPr>
          <w:ilvl w:val="0"/>
          <w:numId w:val="1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Réduction de la facture énergétique de 10 Md€/an à horizon 2035</w:t>
      </w:r>
    </w:p>
    <w:p w14:paraId="3B0BAE10" w14:textId="77777777" w:rsidR="00677FC1" w:rsidRPr="00677FC1" w:rsidRDefault="00677FC1" w:rsidP="00677FC1">
      <w:pPr>
        <w:numPr>
          <w:ilvl w:val="0"/>
          <w:numId w:val="1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Acceptabilité locale, filières chinoises dans le solaire</w:t>
      </w:r>
    </w:p>
    <w:p w14:paraId="4A2160E5" w14:textId="77777777" w:rsidR="00677FC1" w:rsidRPr="00677FC1" w:rsidRDefault="00677FC1" w:rsidP="00677FC1">
      <w:pPr>
        <w:numPr>
          <w:ilvl w:val="0"/>
          <w:numId w:val="1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Forte</w:t>
      </w:r>
    </w:p>
    <w:p w14:paraId="7D8F1D29"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AMBITIEUX</w:t>
      </w:r>
      <w:r w:rsidRPr="00677FC1">
        <w:rPr>
          <w:rFonts w:ascii="Segoe UI" w:eastAsia="Times New Roman" w:hAnsi="Segoe UI" w:cs="Segoe UI"/>
          <w:color w:val="0F1115"/>
          <w:kern w:val="0"/>
          <w:lang w:eastAsia="fr-FR"/>
          <w14:ligatures w14:val="none"/>
        </w:rPr>
        <w:t> (Investissement : +15 Md€/an)</w:t>
      </w:r>
    </w:p>
    <w:p w14:paraId="765EA447" w14:textId="77777777" w:rsidR="00677FC1" w:rsidRPr="00677FC1" w:rsidRDefault="00677FC1" w:rsidP="00677FC1">
      <w:pPr>
        <w:numPr>
          <w:ilvl w:val="0"/>
          <w:numId w:val="1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lastRenderedPageBreak/>
        <w:t>Programme de 10 nouveaux EPR2.</w:t>
      </w:r>
    </w:p>
    <w:p w14:paraId="27D137B3" w14:textId="77777777" w:rsidR="00677FC1" w:rsidRPr="00677FC1" w:rsidRDefault="00677FC1" w:rsidP="00677FC1">
      <w:pPr>
        <w:numPr>
          <w:ilvl w:val="0"/>
          <w:numId w:val="1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Plan hydrogène vert massif : 10 GW d'électrolyseurs.</w:t>
      </w:r>
    </w:p>
    <w:p w14:paraId="205283E7" w14:textId="77777777" w:rsidR="00677FC1" w:rsidRPr="00677FC1" w:rsidRDefault="00677FC1" w:rsidP="00677FC1">
      <w:pPr>
        <w:numPr>
          <w:ilvl w:val="0"/>
          <w:numId w:val="1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Rénovation thermique massive : 1 million de logements/an.</w:t>
      </w:r>
    </w:p>
    <w:p w14:paraId="189AFF66" w14:textId="77777777" w:rsidR="00677FC1" w:rsidRPr="00677FC1" w:rsidRDefault="00677FC1" w:rsidP="00677FC1">
      <w:pPr>
        <w:numPr>
          <w:ilvl w:val="0"/>
          <w:numId w:val="1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Obligations vertes (30 ans) + épargne réglementée (Livret A, LDDS)</w:t>
      </w:r>
    </w:p>
    <w:p w14:paraId="0D44B4AA" w14:textId="77777777" w:rsidR="00677FC1" w:rsidRPr="00677FC1" w:rsidRDefault="00677FC1" w:rsidP="00677FC1">
      <w:pPr>
        <w:numPr>
          <w:ilvl w:val="0"/>
          <w:numId w:val="1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Réduction de la facture énergétique de 20 Md€/an à horizon 2040</w:t>
      </w:r>
    </w:p>
    <w:p w14:paraId="1FD3919C" w14:textId="77777777" w:rsidR="00677FC1" w:rsidRPr="00677FC1" w:rsidRDefault="00677FC1" w:rsidP="00677FC1">
      <w:pPr>
        <w:numPr>
          <w:ilvl w:val="0"/>
          <w:numId w:val="1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Coûts de construction des EPR, dépendance aux matières premières</w:t>
      </w:r>
    </w:p>
    <w:p w14:paraId="1285DBD3" w14:textId="77777777" w:rsidR="00677FC1" w:rsidRPr="00677FC1" w:rsidRDefault="00677FC1" w:rsidP="00677FC1">
      <w:pPr>
        <w:numPr>
          <w:ilvl w:val="0"/>
          <w:numId w:val="1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Moyenne</w:t>
      </w:r>
    </w:p>
    <w:p w14:paraId="344EF270"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DISRUPTIF</w:t>
      </w:r>
      <w:r w:rsidRPr="00677FC1">
        <w:rPr>
          <w:rFonts w:ascii="Segoe UI" w:eastAsia="Times New Roman" w:hAnsi="Segoe UI" w:cs="Segoe UI"/>
          <w:color w:val="0F1115"/>
          <w:kern w:val="0"/>
          <w:lang w:eastAsia="fr-FR"/>
          <w14:ligatures w14:val="none"/>
        </w:rPr>
        <w:t> (Investissement : +30 Md€/an)</w:t>
      </w:r>
    </w:p>
    <w:p w14:paraId="53B782C9" w14:textId="77777777" w:rsidR="00677FC1" w:rsidRPr="00677FC1" w:rsidRDefault="00677FC1" w:rsidP="00677FC1">
      <w:pPr>
        <w:numPr>
          <w:ilvl w:val="0"/>
          <w:numId w:val="1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Sortie totale du gaz et du pétrole d'ici 2040.</w:t>
      </w:r>
    </w:p>
    <w:p w14:paraId="42213987" w14:textId="77777777" w:rsidR="00677FC1" w:rsidRPr="00677FC1" w:rsidRDefault="00677FC1" w:rsidP="00677FC1">
      <w:pPr>
        <w:numPr>
          <w:ilvl w:val="0"/>
          <w:numId w:val="1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Construction de 20 EPR2 et début du programme de SMR.</w:t>
      </w:r>
    </w:p>
    <w:p w14:paraId="0FA8C816" w14:textId="77777777" w:rsidR="00677FC1" w:rsidRPr="00677FC1" w:rsidRDefault="00677FC1" w:rsidP="00677FC1">
      <w:pPr>
        <w:numPr>
          <w:ilvl w:val="0"/>
          <w:numId w:val="1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Plan "100% véhicules électriques" (avec batterie souveraine).</w:t>
      </w:r>
    </w:p>
    <w:p w14:paraId="5910B7E0" w14:textId="77777777" w:rsidR="00677FC1" w:rsidRPr="00677FC1" w:rsidRDefault="00677FC1" w:rsidP="00677FC1">
      <w:pPr>
        <w:numPr>
          <w:ilvl w:val="0"/>
          <w:numId w:val="1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Emprunt souverain massif, taxe carbone à 200€/t, suppression des subventions fossiles</w:t>
      </w:r>
    </w:p>
    <w:p w14:paraId="716AFBF1" w14:textId="77777777" w:rsidR="00677FC1" w:rsidRPr="00677FC1" w:rsidRDefault="00677FC1" w:rsidP="00677FC1">
      <w:pPr>
        <w:numPr>
          <w:ilvl w:val="0"/>
          <w:numId w:val="1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Indépendance énergétique totale à horizon 2045</w:t>
      </w:r>
    </w:p>
    <w:p w14:paraId="30503826" w14:textId="77777777" w:rsidR="00677FC1" w:rsidRPr="00677FC1" w:rsidRDefault="00677FC1" w:rsidP="00677FC1">
      <w:pPr>
        <w:numPr>
          <w:ilvl w:val="0"/>
          <w:numId w:val="1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maximal</w:t>
      </w:r>
      <w:r w:rsidRPr="00677FC1">
        <w:rPr>
          <w:rFonts w:ascii="Segoe UI" w:eastAsia="Times New Roman" w:hAnsi="Segoe UI" w:cs="Segoe UI"/>
          <w:color w:val="0F1115"/>
          <w:kern w:val="0"/>
          <w:lang w:eastAsia="fr-FR"/>
          <w14:ligatures w14:val="none"/>
        </w:rPr>
        <w:t> : Choc d'investissement, hausse du prix de l'électricité à court terme, dette "énergie" colossale</w:t>
      </w:r>
    </w:p>
    <w:p w14:paraId="1086DD5A" w14:textId="77777777" w:rsidR="00677FC1" w:rsidRPr="00677FC1" w:rsidRDefault="00677FC1" w:rsidP="00677FC1">
      <w:pPr>
        <w:numPr>
          <w:ilvl w:val="0"/>
          <w:numId w:val="1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Très faible</w:t>
      </w:r>
    </w:p>
    <w:p w14:paraId="20E68D7B" w14:textId="77777777" w:rsidR="00677FC1" w:rsidRPr="00677FC1" w:rsidRDefault="00677FC1" w:rsidP="00677FC1">
      <w:pPr>
        <w:spacing w:before="480" w:after="480" w:line="240" w:lineRule="auto"/>
        <w:rPr>
          <w:rFonts w:ascii="Segoe UI" w:eastAsia="Times New Roman" w:hAnsi="Segoe UI" w:cs="Segoe UI"/>
          <w:kern w:val="0"/>
          <w:lang w:eastAsia="fr-FR"/>
          <w14:ligatures w14:val="none"/>
        </w:rPr>
      </w:pPr>
      <w:r w:rsidRPr="00677FC1">
        <w:rPr>
          <w:rFonts w:ascii="Times New Roman" w:eastAsia="Times New Roman" w:hAnsi="Times New Roman" w:cs="Times New Roman"/>
          <w:kern w:val="0"/>
          <w:lang w:eastAsia="fr-FR"/>
          <w14:ligatures w14:val="none"/>
        </w:rPr>
        <w:pict w14:anchorId="7BEE456A">
          <v:rect id="_x0000_i1033" style="width:0;height:.75pt" o:hralign="center" o:hrstd="t" o:hr="t" fillcolor="#a0a0a0" stroked="f"/>
        </w:pict>
      </w:r>
    </w:p>
    <w:p w14:paraId="47CE5B9C"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Priorité 3 : Réforme de l'État et efficacité</w:t>
      </w:r>
    </w:p>
    <w:p w14:paraId="529D44CA" w14:textId="77777777" w:rsidR="00677FC1" w:rsidRPr="00677FC1" w:rsidRDefault="00677FC1" w:rsidP="00677FC1">
      <w:pPr>
        <w:shd w:val="clear" w:color="auto" w:fill="FFFFFF"/>
        <w:spacing w:before="240" w:after="240" w:line="420" w:lineRule="atLeast"/>
        <w:outlineLvl w:val="3"/>
        <w:rPr>
          <w:rFonts w:ascii="Segoe UI" w:eastAsia="Times New Roman" w:hAnsi="Segoe UI" w:cs="Segoe UI"/>
          <w:b/>
          <w:bCs/>
          <w:color w:val="0F1115"/>
          <w:kern w:val="0"/>
          <w:lang w:eastAsia="fr-FR"/>
          <w14:ligatures w14:val="none"/>
        </w:rPr>
      </w:pPr>
      <w:r w:rsidRPr="00677FC1">
        <w:rPr>
          <w:rFonts w:ascii="Segoe UI" w:eastAsia="Times New Roman" w:hAnsi="Segoe UI" w:cs="Segoe UI"/>
          <w:b/>
          <w:bCs/>
          <w:color w:val="0F1115"/>
          <w:kern w:val="0"/>
          <w:lang w:eastAsia="fr-FR"/>
          <w14:ligatures w14:val="none"/>
        </w:rPr>
        <w:t>Mesure 3A — Numérisation et modernisation</w:t>
      </w:r>
    </w:p>
    <w:p w14:paraId="7664E068"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PRUDENT</w:t>
      </w:r>
      <w:r w:rsidRPr="00677FC1">
        <w:rPr>
          <w:rFonts w:ascii="Segoe UI" w:eastAsia="Times New Roman" w:hAnsi="Segoe UI" w:cs="Segoe UI"/>
          <w:color w:val="0F1115"/>
          <w:kern w:val="0"/>
          <w:lang w:eastAsia="fr-FR"/>
          <w14:ligatures w14:val="none"/>
        </w:rPr>
        <w:t> (Investissement : +2 Md€/an, économies attendues : 3 Md€/an)</w:t>
      </w:r>
    </w:p>
    <w:p w14:paraId="1701EC9F" w14:textId="77777777" w:rsidR="00677FC1" w:rsidRPr="00677FC1" w:rsidRDefault="00677FC1" w:rsidP="00677FC1">
      <w:pPr>
        <w:numPr>
          <w:ilvl w:val="0"/>
          <w:numId w:val="1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Généralisation de "France Connect" pour toutes les démarches.</w:t>
      </w:r>
    </w:p>
    <w:p w14:paraId="3FDF4663" w14:textId="77777777" w:rsidR="00677FC1" w:rsidRPr="00677FC1" w:rsidRDefault="00677FC1" w:rsidP="00677FC1">
      <w:pPr>
        <w:numPr>
          <w:ilvl w:val="0"/>
          <w:numId w:val="1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Ouverture des données publiques massives.</w:t>
      </w:r>
    </w:p>
    <w:p w14:paraId="739C0766" w14:textId="77777777" w:rsidR="00677FC1" w:rsidRPr="00677FC1" w:rsidRDefault="00677FC1" w:rsidP="00677FC1">
      <w:pPr>
        <w:numPr>
          <w:ilvl w:val="0"/>
          <w:numId w:val="1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Instrument</w:t>
      </w:r>
      <w:r w:rsidRPr="00677FC1">
        <w:rPr>
          <w:rFonts w:ascii="Segoe UI" w:eastAsia="Times New Roman" w:hAnsi="Segoe UI" w:cs="Segoe UI"/>
          <w:color w:val="0F1115"/>
          <w:kern w:val="0"/>
          <w:lang w:eastAsia="fr-FR"/>
          <w14:ligatures w14:val="none"/>
        </w:rPr>
        <w:t> : Décrets, loi de finances</w:t>
      </w:r>
    </w:p>
    <w:p w14:paraId="43D4C02D" w14:textId="77777777" w:rsidR="00677FC1" w:rsidRPr="00677FC1" w:rsidRDefault="00677FC1" w:rsidP="00677FC1">
      <w:pPr>
        <w:numPr>
          <w:ilvl w:val="0"/>
          <w:numId w:val="1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2026-2028</w:t>
      </w:r>
    </w:p>
    <w:p w14:paraId="53DD5C62" w14:textId="77777777" w:rsidR="00677FC1" w:rsidRPr="00677FC1" w:rsidRDefault="00677FC1" w:rsidP="00677FC1">
      <w:pPr>
        <w:numPr>
          <w:ilvl w:val="0"/>
          <w:numId w:val="1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Simplification, réduction des erreurs, gain de temps</w:t>
      </w:r>
    </w:p>
    <w:p w14:paraId="6E2DF3DD" w14:textId="77777777" w:rsidR="00677FC1" w:rsidRPr="00677FC1" w:rsidRDefault="00677FC1" w:rsidP="00677FC1">
      <w:pPr>
        <w:numPr>
          <w:ilvl w:val="0"/>
          <w:numId w:val="1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Cybersécurité, fracture numérique</w:t>
      </w:r>
    </w:p>
    <w:p w14:paraId="73F16470" w14:textId="77777777" w:rsidR="00677FC1" w:rsidRPr="00677FC1" w:rsidRDefault="00677FC1" w:rsidP="00677FC1">
      <w:pPr>
        <w:numPr>
          <w:ilvl w:val="0"/>
          <w:numId w:val="1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Forte</w:t>
      </w:r>
    </w:p>
    <w:p w14:paraId="0EA6FFF9"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AMBITIEUX</w:t>
      </w:r>
      <w:r w:rsidRPr="00677FC1">
        <w:rPr>
          <w:rFonts w:ascii="Segoe UI" w:eastAsia="Times New Roman" w:hAnsi="Segoe UI" w:cs="Segoe UI"/>
          <w:color w:val="0F1115"/>
          <w:kern w:val="0"/>
          <w:lang w:eastAsia="fr-FR"/>
          <w14:ligatures w14:val="none"/>
        </w:rPr>
        <w:t> (Investissement : +5 Md€/an, économies attendues : 8 Md€/an)</w:t>
      </w:r>
    </w:p>
    <w:p w14:paraId="37B69A7F" w14:textId="77777777" w:rsidR="00677FC1" w:rsidRPr="00677FC1" w:rsidRDefault="00677FC1" w:rsidP="00677FC1">
      <w:pPr>
        <w:numPr>
          <w:ilvl w:val="0"/>
          <w:numId w:val="1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Numérisation de bout en bout des services publics (dématérialisation totale).</w:t>
      </w:r>
    </w:p>
    <w:p w14:paraId="7351C5F6" w14:textId="77777777" w:rsidR="00677FC1" w:rsidRPr="00677FC1" w:rsidRDefault="00677FC1" w:rsidP="00677FC1">
      <w:pPr>
        <w:numPr>
          <w:ilvl w:val="0"/>
          <w:numId w:val="1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Plan de formation numérique des agents.</w:t>
      </w:r>
    </w:p>
    <w:p w14:paraId="232467AE" w14:textId="77777777" w:rsidR="00677FC1" w:rsidRPr="00677FC1" w:rsidRDefault="00677FC1" w:rsidP="00677FC1">
      <w:pPr>
        <w:numPr>
          <w:ilvl w:val="0"/>
          <w:numId w:val="1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Intelligence artificielle pour les tâches administratives simples.</w:t>
      </w:r>
    </w:p>
    <w:p w14:paraId="46AA34AF" w14:textId="77777777" w:rsidR="00677FC1" w:rsidRPr="00677FC1" w:rsidRDefault="00677FC1" w:rsidP="00677FC1">
      <w:pPr>
        <w:numPr>
          <w:ilvl w:val="0"/>
          <w:numId w:val="1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Résistance des agents, cybersécurité</w:t>
      </w:r>
    </w:p>
    <w:p w14:paraId="0AB3F971" w14:textId="77777777" w:rsidR="00677FC1" w:rsidRPr="00677FC1" w:rsidRDefault="00677FC1" w:rsidP="00677FC1">
      <w:pPr>
        <w:numPr>
          <w:ilvl w:val="0"/>
          <w:numId w:val="1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lastRenderedPageBreak/>
        <w:t>Réversibilité</w:t>
      </w:r>
      <w:r w:rsidRPr="00677FC1">
        <w:rPr>
          <w:rFonts w:ascii="Segoe UI" w:eastAsia="Times New Roman" w:hAnsi="Segoe UI" w:cs="Segoe UI"/>
          <w:color w:val="0F1115"/>
          <w:kern w:val="0"/>
          <w:lang w:eastAsia="fr-FR"/>
          <w14:ligatures w14:val="none"/>
        </w:rPr>
        <w:t> : Moyenne</w:t>
      </w:r>
    </w:p>
    <w:p w14:paraId="35750BB0"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DISRUPTIF</w:t>
      </w:r>
      <w:r w:rsidRPr="00677FC1">
        <w:rPr>
          <w:rFonts w:ascii="Segoe UI" w:eastAsia="Times New Roman" w:hAnsi="Segoe UI" w:cs="Segoe UI"/>
          <w:color w:val="0F1115"/>
          <w:kern w:val="0"/>
          <w:lang w:eastAsia="fr-FR"/>
          <w14:ligatures w14:val="none"/>
        </w:rPr>
        <w:t> (Investissement : +10 Md€/an, économies attendues : 20 Md€/an)</w:t>
      </w:r>
    </w:p>
    <w:p w14:paraId="664E3C25" w14:textId="77777777" w:rsidR="00677FC1" w:rsidRPr="00677FC1" w:rsidRDefault="00677FC1" w:rsidP="00677FC1">
      <w:pPr>
        <w:numPr>
          <w:ilvl w:val="0"/>
          <w:numId w:val="1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Création d'une "administration cognitive" (IA générative).</w:t>
      </w:r>
    </w:p>
    <w:p w14:paraId="62665625" w14:textId="77777777" w:rsidR="00677FC1" w:rsidRPr="00677FC1" w:rsidRDefault="00677FC1" w:rsidP="00677FC1">
      <w:pPr>
        <w:numPr>
          <w:ilvl w:val="0"/>
          <w:numId w:val="1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Suppression des guichets physiques (hors zones rurales), remplacement par des "maisons de services" mutualisées.</w:t>
      </w:r>
    </w:p>
    <w:p w14:paraId="0B03A934" w14:textId="77777777" w:rsidR="00677FC1" w:rsidRPr="00677FC1" w:rsidRDefault="00677FC1" w:rsidP="00677FC1">
      <w:pPr>
        <w:numPr>
          <w:ilvl w:val="0"/>
          <w:numId w:val="1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maximal</w:t>
      </w:r>
      <w:r w:rsidRPr="00677FC1">
        <w:rPr>
          <w:rFonts w:ascii="Segoe UI" w:eastAsia="Times New Roman" w:hAnsi="Segoe UI" w:cs="Segoe UI"/>
          <w:color w:val="0F1115"/>
          <w:kern w:val="0"/>
          <w:lang w:eastAsia="fr-FR"/>
          <w14:ligatures w14:val="none"/>
        </w:rPr>
        <w:t> : Perte de sens du service public, obsolescence massive des métiers</w:t>
      </w:r>
    </w:p>
    <w:p w14:paraId="267EE89D" w14:textId="77777777" w:rsidR="00677FC1" w:rsidRPr="00677FC1" w:rsidRDefault="00677FC1" w:rsidP="00677FC1">
      <w:pPr>
        <w:numPr>
          <w:ilvl w:val="0"/>
          <w:numId w:val="1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Faible</w:t>
      </w:r>
    </w:p>
    <w:p w14:paraId="6DAE95C4" w14:textId="77777777" w:rsidR="00677FC1" w:rsidRPr="00677FC1" w:rsidRDefault="00677FC1" w:rsidP="00677FC1">
      <w:pPr>
        <w:spacing w:before="480" w:after="480" w:line="240" w:lineRule="auto"/>
        <w:rPr>
          <w:rFonts w:ascii="Segoe UI" w:eastAsia="Times New Roman" w:hAnsi="Segoe UI" w:cs="Segoe UI"/>
          <w:kern w:val="0"/>
          <w:lang w:eastAsia="fr-FR"/>
          <w14:ligatures w14:val="none"/>
        </w:rPr>
      </w:pPr>
      <w:r w:rsidRPr="00677FC1">
        <w:rPr>
          <w:rFonts w:ascii="Times New Roman" w:eastAsia="Times New Roman" w:hAnsi="Times New Roman" w:cs="Times New Roman"/>
          <w:kern w:val="0"/>
          <w:lang w:eastAsia="fr-FR"/>
          <w14:ligatures w14:val="none"/>
        </w:rPr>
        <w:pict w14:anchorId="7EE9F654">
          <v:rect id="_x0000_i1034" style="width:0;height:.75pt" o:hralign="center" o:hrstd="t" o:hr="t" fillcolor="#a0a0a0" stroked="f"/>
        </w:pict>
      </w:r>
    </w:p>
    <w:p w14:paraId="5DB46C06"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Priorité 4 : Démographie, éducation, compétences</w:t>
      </w:r>
    </w:p>
    <w:p w14:paraId="6DA10AB4" w14:textId="77777777" w:rsidR="00677FC1" w:rsidRPr="00677FC1" w:rsidRDefault="00677FC1" w:rsidP="00677FC1">
      <w:pPr>
        <w:shd w:val="clear" w:color="auto" w:fill="FFFFFF"/>
        <w:spacing w:before="240" w:after="240" w:line="420" w:lineRule="atLeast"/>
        <w:outlineLvl w:val="3"/>
        <w:rPr>
          <w:rFonts w:ascii="Segoe UI" w:eastAsia="Times New Roman" w:hAnsi="Segoe UI" w:cs="Segoe UI"/>
          <w:b/>
          <w:bCs/>
          <w:color w:val="0F1115"/>
          <w:kern w:val="0"/>
          <w:lang w:eastAsia="fr-FR"/>
          <w14:ligatures w14:val="none"/>
        </w:rPr>
      </w:pPr>
      <w:r w:rsidRPr="00677FC1">
        <w:rPr>
          <w:rFonts w:ascii="Segoe UI" w:eastAsia="Times New Roman" w:hAnsi="Segoe UI" w:cs="Segoe UI"/>
          <w:b/>
          <w:bCs/>
          <w:color w:val="0F1115"/>
          <w:kern w:val="0"/>
          <w:lang w:eastAsia="fr-FR"/>
          <w14:ligatures w14:val="none"/>
        </w:rPr>
        <w:t>Mesure 4A — Petite enfance et natalité</w:t>
      </w:r>
    </w:p>
    <w:p w14:paraId="56248424"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Donnée</w:t>
      </w:r>
      <w:r w:rsidRPr="00677FC1">
        <w:rPr>
          <w:rFonts w:ascii="Segoe UI" w:eastAsia="Times New Roman" w:hAnsi="Segoe UI" w:cs="Segoe UI"/>
          <w:color w:val="0F1115"/>
          <w:kern w:val="0"/>
          <w:lang w:eastAsia="fr-FR"/>
          <w14:ligatures w14:val="none"/>
        </w:rPr>
        <w:t> : L'indice de fécondité est en baisse ; les dépenses de protection sociale ne sont plus soutenables en l'état.</w:t>
      </w:r>
    </w:p>
    <w:p w14:paraId="51EE305E"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PRUDENT</w:t>
      </w:r>
      <w:r w:rsidRPr="00677FC1">
        <w:rPr>
          <w:rFonts w:ascii="Segoe UI" w:eastAsia="Times New Roman" w:hAnsi="Segoe UI" w:cs="Segoe UI"/>
          <w:color w:val="0F1115"/>
          <w:kern w:val="0"/>
          <w:lang w:eastAsia="fr-FR"/>
          <w14:ligatures w14:val="none"/>
        </w:rPr>
        <w:t> (Coût : 3 Md€/an)</w:t>
      </w:r>
    </w:p>
    <w:p w14:paraId="39C27771" w14:textId="77777777" w:rsidR="00677FC1" w:rsidRPr="00677FC1" w:rsidRDefault="00677FC1" w:rsidP="00677FC1">
      <w:pPr>
        <w:numPr>
          <w:ilvl w:val="0"/>
          <w:numId w:val="2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Revalorisation des allocations familiales (+10%).</w:t>
      </w:r>
    </w:p>
    <w:p w14:paraId="746CF61A" w14:textId="77777777" w:rsidR="00677FC1" w:rsidRPr="00677FC1" w:rsidRDefault="00677FC1" w:rsidP="00677FC1">
      <w:pPr>
        <w:numPr>
          <w:ilvl w:val="0"/>
          <w:numId w:val="2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Création de 50 000 places supplémentaires en crèche.</w:t>
      </w:r>
    </w:p>
    <w:p w14:paraId="132A2B4D" w14:textId="77777777" w:rsidR="00677FC1" w:rsidRPr="00677FC1" w:rsidRDefault="00677FC1" w:rsidP="00677FC1">
      <w:pPr>
        <w:numPr>
          <w:ilvl w:val="0"/>
          <w:numId w:val="2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Redéploiement sur d'autres aides sociales moins efficaces</w:t>
      </w:r>
    </w:p>
    <w:p w14:paraId="53CBD302" w14:textId="77777777" w:rsidR="00677FC1" w:rsidRPr="00677FC1" w:rsidRDefault="00677FC1" w:rsidP="00677FC1">
      <w:pPr>
        <w:numPr>
          <w:ilvl w:val="0"/>
          <w:numId w:val="2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2027-2028</w:t>
      </w:r>
    </w:p>
    <w:p w14:paraId="4D6AC9BE" w14:textId="77777777" w:rsidR="00677FC1" w:rsidRPr="00677FC1" w:rsidRDefault="00677FC1" w:rsidP="00677FC1">
      <w:pPr>
        <w:numPr>
          <w:ilvl w:val="0"/>
          <w:numId w:val="2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 attendu</w:t>
      </w:r>
      <w:r w:rsidRPr="00677FC1">
        <w:rPr>
          <w:rFonts w:ascii="Segoe UI" w:eastAsia="Times New Roman" w:hAnsi="Segoe UI" w:cs="Segoe UI"/>
          <w:color w:val="0F1115"/>
          <w:kern w:val="0"/>
          <w:lang w:eastAsia="fr-FR"/>
          <w14:ligatures w14:val="none"/>
        </w:rPr>
        <w:t> : Hausse modeste de la fécondité, meilleur taux d'emploi des femmes</w:t>
      </w:r>
    </w:p>
    <w:p w14:paraId="14CA6BF2" w14:textId="77777777" w:rsidR="00677FC1" w:rsidRPr="00677FC1" w:rsidRDefault="00677FC1" w:rsidP="00677FC1">
      <w:pPr>
        <w:numPr>
          <w:ilvl w:val="0"/>
          <w:numId w:val="2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Mesure insuffisante pour inverser la tendance</w:t>
      </w:r>
    </w:p>
    <w:p w14:paraId="349BE84C" w14:textId="77777777" w:rsidR="00677FC1" w:rsidRPr="00677FC1" w:rsidRDefault="00677FC1" w:rsidP="00677FC1">
      <w:pPr>
        <w:numPr>
          <w:ilvl w:val="0"/>
          <w:numId w:val="2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Forte</w:t>
      </w:r>
    </w:p>
    <w:p w14:paraId="5C2B8D17"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AMBITIEUX</w:t>
      </w:r>
      <w:r w:rsidRPr="00677FC1">
        <w:rPr>
          <w:rFonts w:ascii="Segoe UI" w:eastAsia="Times New Roman" w:hAnsi="Segoe UI" w:cs="Segoe UI"/>
          <w:color w:val="0F1115"/>
          <w:kern w:val="0"/>
          <w:lang w:eastAsia="fr-FR"/>
          <w14:ligatures w14:val="none"/>
        </w:rPr>
        <w:t> (Coût : 10 Md€/an)</w:t>
      </w:r>
    </w:p>
    <w:p w14:paraId="0DD09143" w14:textId="77777777" w:rsidR="00677FC1" w:rsidRPr="00677FC1" w:rsidRDefault="00677FC1" w:rsidP="00677FC1">
      <w:pPr>
        <w:numPr>
          <w:ilvl w:val="0"/>
          <w:numId w:val="2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Allocation "naissance" de 10 000€ pour chaque enfant (premier enfant).</w:t>
      </w:r>
    </w:p>
    <w:p w14:paraId="15616C04" w14:textId="77777777" w:rsidR="00677FC1" w:rsidRPr="00677FC1" w:rsidRDefault="00677FC1" w:rsidP="00677FC1">
      <w:pPr>
        <w:numPr>
          <w:ilvl w:val="0"/>
          <w:numId w:val="2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Généralisation des crèches (objectif : 100% de taux de couverture).</w:t>
      </w:r>
    </w:p>
    <w:p w14:paraId="5579A387" w14:textId="77777777" w:rsidR="00677FC1" w:rsidRPr="00677FC1" w:rsidRDefault="00677FC1" w:rsidP="00677FC1">
      <w:pPr>
        <w:numPr>
          <w:ilvl w:val="0"/>
          <w:numId w:val="2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Congé parental mieux rémunéré.</w:t>
      </w:r>
    </w:p>
    <w:p w14:paraId="36835639" w14:textId="77777777" w:rsidR="00677FC1" w:rsidRPr="00677FC1" w:rsidRDefault="00677FC1" w:rsidP="00677FC1">
      <w:pPr>
        <w:numPr>
          <w:ilvl w:val="0"/>
          <w:numId w:val="2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Révision des niches fiscales (Mesure 1C)</w:t>
      </w:r>
    </w:p>
    <w:p w14:paraId="678F9CED" w14:textId="77777777" w:rsidR="00677FC1" w:rsidRPr="00677FC1" w:rsidRDefault="00677FC1" w:rsidP="00677FC1">
      <w:pPr>
        <w:numPr>
          <w:ilvl w:val="0"/>
          <w:numId w:val="2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Hausse de la fécondité, meilleure égalité professionnelle</w:t>
      </w:r>
    </w:p>
    <w:p w14:paraId="0B84103C" w14:textId="77777777" w:rsidR="00677FC1" w:rsidRPr="00677FC1" w:rsidRDefault="00677FC1" w:rsidP="00677FC1">
      <w:pPr>
        <w:numPr>
          <w:ilvl w:val="0"/>
          <w:numId w:val="2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Effet d'aubaine, difficultés de recrutement dans la petite enfance</w:t>
      </w:r>
    </w:p>
    <w:p w14:paraId="646F82FE" w14:textId="77777777" w:rsidR="00677FC1" w:rsidRPr="00677FC1" w:rsidRDefault="00677FC1" w:rsidP="00677FC1">
      <w:pPr>
        <w:numPr>
          <w:ilvl w:val="0"/>
          <w:numId w:val="2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Moyenne</w:t>
      </w:r>
    </w:p>
    <w:p w14:paraId="25014921"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DISRUPTIF</w:t>
      </w:r>
      <w:r w:rsidRPr="00677FC1">
        <w:rPr>
          <w:rFonts w:ascii="Segoe UI" w:eastAsia="Times New Roman" w:hAnsi="Segoe UI" w:cs="Segoe UI"/>
          <w:color w:val="0F1115"/>
          <w:kern w:val="0"/>
          <w:lang w:eastAsia="fr-FR"/>
          <w14:ligatures w14:val="none"/>
        </w:rPr>
        <w:t> (Coût : 25 Md€/an)</w:t>
      </w:r>
    </w:p>
    <w:p w14:paraId="3D5F3E52" w14:textId="77777777" w:rsidR="00677FC1" w:rsidRPr="00677FC1" w:rsidRDefault="00677FC1" w:rsidP="00677FC1">
      <w:pPr>
        <w:numPr>
          <w:ilvl w:val="0"/>
          <w:numId w:val="2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lastRenderedPageBreak/>
        <w:t>"Polynatalité" : allocation universelle pour chaque enfant de 0 à 3 ans, scolarité gratuite de 2 à 18 ans.</w:t>
      </w:r>
    </w:p>
    <w:p w14:paraId="09E6A6A2" w14:textId="77777777" w:rsidR="00677FC1" w:rsidRPr="00677FC1" w:rsidRDefault="00677FC1" w:rsidP="00677FC1">
      <w:pPr>
        <w:numPr>
          <w:ilvl w:val="0"/>
          <w:numId w:val="2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Création d'un service public de la petite enfance.</w:t>
      </w:r>
    </w:p>
    <w:p w14:paraId="70935C55" w14:textId="77777777" w:rsidR="00677FC1" w:rsidRPr="00677FC1" w:rsidRDefault="00677FC1" w:rsidP="00677FC1">
      <w:pPr>
        <w:numPr>
          <w:ilvl w:val="0"/>
          <w:numId w:val="2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Congé de naissance de 12 mois pour les deux parents.</w:t>
      </w:r>
    </w:p>
    <w:p w14:paraId="604A0DA8" w14:textId="77777777" w:rsidR="00677FC1" w:rsidRPr="00677FC1" w:rsidRDefault="00677FC1" w:rsidP="00677FC1">
      <w:pPr>
        <w:numPr>
          <w:ilvl w:val="0"/>
          <w:numId w:val="2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Majoration des prélèvements sur les successions sans enfants + réduction massive des autres dépenses sociales</w:t>
      </w:r>
    </w:p>
    <w:p w14:paraId="13FACBB6" w14:textId="77777777" w:rsidR="00677FC1" w:rsidRPr="00677FC1" w:rsidRDefault="00677FC1" w:rsidP="00677FC1">
      <w:pPr>
        <w:numPr>
          <w:ilvl w:val="0"/>
          <w:numId w:val="2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Renouvellement générationnel à long terme</w:t>
      </w:r>
    </w:p>
    <w:p w14:paraId="1765CB41" w14:textId="77777777" w:rsidR="00677FC1" w:rsidRPr="00677FC1" w:rsidRDefault="00677FC1" w:rsidP="00677FC1">
      <w:pPr>
        <w:numPr>
          <w:ilvl w:val="0"/>
          <w:numId w:val="2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maximal</w:t>
      </w:r>
      <w:r w:rsidRPr="00677FC1">
        <w:rPr>
          <w:rFonts w:ascii="Segoe UI" w:eastAsia="Times New Roman" w:hAnsi="Segoe UI" w:cs="Segoe UI"/>
          <w:color w:val="0F1115"/>
          <w:kern w:val="0"/>
          <w:lang w:eastAsia="fr-FR"/>
          <w14:ligatures w14:val="none"/>
        </w:rPr>
        <w:t> : Coût exorbitant, inégalités entre générations, attractivité du système</w:t>
      </w:r>
    </w:p>
    <w:p w14:paraId="373330B0" w14:textId="77777777" w:rsidR="00677FC1" w:rsidRPr="00677FC1" w:rsidRDefault="00677FC1" w:rsidP="00677FC1">
      <w:pPr>
        <w:numPr>
          <w:ilvl w:val="0"/>
          <w:numId w:val="2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Faible</w:t>
      </w:r>
    </w:p>
    <w:p w14:paraId="41DFB2FE" w14:textId="77777777" w:rsidR="00677FC1" w:rsidRPr="00677FC1" w:rsidRDefault="00677FC1" w:rsidP="00677FC1">
      <w:pPr>
        <w:spacing w:before="480" w:after="480" w:line="240" w:lineRule="auto"/>
        <w:rPr>
          <w:rFonts w:ascii="Segoe UI" w:eastAsia="Times New Roman" w:hAnsi="Segoe UI" w:cs="Segoe UI"/>
          <w:kern w:val="0"/>
          <w:lang w:eastAsia="fr-FR"/>
          <w14:ligatures w14:val="none"/>
        </w:rPr>
      </w:pPr>
      <w:r w:rsidRPr="00677FC1">
        <w:rPr>
          <w:rFonts w:ascii="Times New Roman" w:eastAsia="Times New Roman" w:hAnsi="Times New Roman" w:cs="Times New Roman"/>
          <w:kern w:val="0"/>
          <w:lang w:eastAsia="fr-FR"/>
          <w14:ligatures w14:val="none"/>
        </w:rPr>
        <w:pict w14:anchorId="709BFA43">
          <v:rect id="_x0000_i1035" style="width:0;height:.75pt" o:hralign="center" o:hrstd="t" o:hr="t" fillcolor="#a0a0a0" stroked="f"/>
        </w:pict>
      </w:r>
    </w:p>
    <w:p w14:paraId="3DE2990F" w14:textId="77777777" w:rsidR="00677FC1" w:rsidRPr="00677FC1" w:rsidRDefault="00677FC1" w:rsidP="00677FC1">
      <w:pPr>
        <w:shd w:val="clear" w:color="auto" w:fill="FFFFFF"/>
        <w:spacing w:before="240" w:after="240" w:line="420" w:lineRule="atLeast"/>
        <w:outlineLvl w:val="3"/>
        <w:rPr>
          <w:rFonts w:ascii="Segoe UI" w:eastAsia="Times New Roman" w:hAnsi="Segoe UI" w:cs="Segoe UI"/>
          <w:b/>
          <w:bCs/>
          <w:color w:val="0F1115"/>
          <w:kern w:val="0"/>
          <w:lang w:eastAsia="fr-FR"/>
          <w14:ligatures w14:val="none"/>
        </w:rPr>
      </w:pPr>
      <w:r w:rsidRPr="00677FC1">
        <w:rPr>
          <w:rFonts w:ascii="Segoe UI" w:eastAsia="Times New Roman" w:hAnsi="Segoe UI" w:cs="Segoe UI"/>
          <w:b/>
          <w:bCs/>
          <w:color w:val="0F1115"/>
          <w:kern w:val="0"/>
          <w:lang w:eastAsia="fr-FR"/>
          <w14:ligatures w14:val="none"/>
        </w:rPr>
        <w:t>Mesure 4B — Éducation</w:t>
      </w:r>
    </w:p>
    <w:p w14:paraId="3916A5AC"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PRUDENT</w:t>
      </w:r>
      <w:r w:rsidRPr="00677FC1">
        <w:rPr>
          <w:rFonts w:ascii="Segoe UI" w:eastAsia="Times New Roman" w:hAnsi="Segoe UI" w:cs="Segoe UI"/>
          <w:color w:val="0F1115"/>
          <w:kern w:val="0"/>
          <w:lang w:eastAsia="fr-FR"/>
          <w14:ligatures w14:val="none"/>
        </w:rPr>
        <w:t> (Investissement : +2 Md€/an)</w:t>
      </w:r>
    </w:p>
    <w:p w14:paraId="34DE8D6E" w14:textId="77777777" w:rsidR="00677FC1" w:rsidRPr="00677FC1" w:rsidRDefault="00677FC1" w:rsidP="00677FC1">
      <w:pPr>
        <w:numPr>
          <w:ilvl w:val="0"/>
          <w:numId w:val="2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Augmentation des salaires des enseignants débutants de 10%.</w:t>
      </w:r>
    </w:p>
    <w:p w14:paraId="58E4758C" w14:textId="77777777" w:rsidR="00677FC1" w:rsidRPr="00677FC1" w:rsidRDefault="00677FC1" w:rsidP="00677FC1">
      <w:pPr>
        <w:numPr>
          <w:ilvl w:val="0"/>
          <w:numId w:val="2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Réduction des effectifs par classe dans les zones prioritaires.</w:t>
      </w:r>
    </w:p>
    <w:p w14:paraId="4F7E6BBA" w14:textId="77777777" w:rsidR="00677FC1" w:rsidRPr="00677FC1" w:rsidRDefault="00677FC1" w:rsidP="00677FC1">
      <w:pPr>
        <w:numPr>
          <w:ilvl w:val="0"/>
          <w:numId w:val="2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Redéploiement des dépenses de l'Éducation nationale</w:t>
      </w:r>
    </w:p>
    <w:p w14:paraId="3FF79FAD" w14:textId="77777777" w:rsidR="00677FC1" w:rsidRPr="00677FC1" w:rsidRDefault="00677FC1" w:rsidP="00677FC1">
      <w:pPr>
        <w:numPr>
          <w:ilvl w:val="0"/>
          <w:numId w:val="2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Calendrier</w:t>
      </w:r>
      <w:r w:rsidRPr="00677FC1">
        <w:rPr>
          <w:rFonts w:ascii="Segoe UI" w:eastAsia="Times New Roman" w:hAnsi="Segoe UI" w:cs="Segoe UI"/>
          <w:color w:val="0F1115"/>
          <w:kern w:val="0"/>
          <w:lang w:eastAsia="fr-FR"/>
          <w14:ligatures w14:val="none"/>
        </w:rPr>
        <w:t> : 2027-2028</w:t>
      </w:r>
    </w:p>
    <w:p w14:paraId="19B59946" w14:textId="77777777" w:rsidR="00677FC1" w:rsidRPr="00677FC1" w:rsidRDefault="00677FC1" w:rsidP="00677FC1">
      <w:pPr>
        <w:numPr>
          <w:ilvl w:val="0"/>
          <w:numId w:val="2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Amélioration des résultats dans les zones difficiles</w:t>
      </w:r>
    </w:p>
    <w:p w14:paraId="66C5DBB5" w14:textId="77777777" w:rsidR="00677FC1" w:rsidRPr="00677FC1" w:rsidRDefault="00677FC1" w:rsidP="00677FC1">
      <w:pPr>
        <w:numPr>
          <w:ilvl w:val="0"/>
          <w:numId w:val="2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Réforme insuffisante</w:t>
      </w:r>
    </w:p>
    <w:p w14:paraId="4F8AA152" w14:textId="77777777" w:rsidR="00677FC1" w:rsidRPr="00677FC1" w:rsidRDefault="00677FC1" w:rsidP="00677FC1">
      <w:pPr>
        <w:numPr>
          <w:ilvl w:val="0"/>
          <w:numId w:val="2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Forte</w:t>
      </w:r>
    </w:p>
    <w:p w14:paraId="145B9637"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AMBITIEUX</w:t>
      </w:r>
      <w:r w:rsidRPr="00677FC1">
        <w:rPr>
          <w:rFonts w:ascii="Segoe UI" w:eastAsia="Times New Roman" w:hAnsi="Segoe UI" w:cs="Segoe UI"/>
          <w:color w:val="0F1115"/>
          <w:kern w:val="0"/>
          <w:lang w:eastAsia="fr-FR"/>
          <w14:ligatures w14:val="none"/>
        </w:rPr>
        <w:t> (Investissement : +8 Md€/an)</w:t>
      </w:r>
    </w:p>
    <w:p w14:paraId="189E8424" w14:textId="77777777" w:rsidR="00677FC1" w:rsidRPr="00677FC1" w:rsidRDefault="00677FC1" w:rsidP="00677FC1">
      <w:pPr>
        <w:numPr>
          <w:ilvl w:val="0"/>
          <w:numId w:val="2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Augmentation des salaires de 30% sur 5 ans pour tous les enseignants.</w:t>
      </w:r>
    </w:p>
    <w:p w14:paraId="1440097C" w14:textId="77777777" w:rsidR="00677FC1" w:rsidRPr="00677FC1" w:rsidRDefault="00677FC1" w:rsidP="00677FC1">
      <w:pPr>
        <w:numPr>
          <w:ilvl w:val="0"/>
          <w:numId w:val="2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Réduction des effectifs à 20 élèves maximum (primaire).</w:t>
      </w:r>
    </w:p>
    <w:p w14:paraId="77B89A8F" w14:textId="77777777" w:rsidR="00677FC1" w:rsidRPr="00677FC1" w:rsidRDefault="00677FC1" w:rsidP="00677FC1">
      <w:pPr>
        <w:numPr>
          <w:ilvl w:val="0"/>
          <w:numId w:val="2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Cours de remédiation systématique.</w:t>
      </w:r>
    </w:p>
    <w:p w14:paraId="000E48DA" w14:textId="77777777" w:rsidR="00677FC1" w:rsidRPr="00677FC1" w:rsidRDefault="00677FC1" w:rsidP="00677FC1">
      <w:pPr>
        <w:numPr>
          <w:ilvl w:val="0"/>
          <w:numId w:val="2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Financement</w:t>
      </w:r>
      <w:r w:rsidRPr="00677FC1">
        <w:rPr>
          <w:rFonts w:ascii="Segoe UI" w:eastAsia="Times New Roman" w:hAnsi="Segoe UI" w:cs="Segoe UI"/>
          <w:color w:val="0F1115"/>
          <w:kern w:val="0"/>
          <w:lang w:eastAsia="fr-FR"/>
          <w14:ligatures w14:val="none"/>
        </w:rPr>
        <w:t> : Économies sur l'enseignement supérieur et la recherche (fusion d'établissements)</w:t>
      </w:r>
    </w:p>
    <w:p w14:paraId="3F0D920F" w14:textId="77777777" w:rsidR="00677FC1" w:rsidRPr="00677FC1" w:rsidRDefault="00677FC1" w:rsidP="00677FC1">
      <w:pPr>
        <w:numPr>
          <w:ilvl w:val="0"/>
          <w:numId w:val="2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Rendement</w:t>
      </w:r>
      <w:r w:rsidRPr="00677FC1">
        <w:rPr>
          <w:rFonts w:ascii="Segoe UI" w:eastAsia="Times New Roman" w:hAnsi="Segoe UI" w:cs="Segoe UI"/>
          <w:color w:val="0F1115"/>
          <w:kern w:val="0"/>
          <w:lang w:eastAsia="fr-FR"/>
          <w14:ligatures w14:val="none"/>
        </w:rPr>
        <w:t> : Hausse du niveau moyen, réduction des inégalités</w:t>
      </w:r>
    </w:p>
    <w:p w14:paraId="06A93281" w14:textId="77777777" w:rsidR="00677FC1" w:rsidRPr="00677FC1" w:rsidRDefault="00677FC1" w:rsidP="00677FC1">
      <w:pPr>
        <w:numPr>
          <w:ilvl w:val="0"/>
          <w:numId w:val="2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w:t>
      </w:r>
      <w:r w:rsidRPr="00677FC1">
        <w:rPr>
          <w:rFonts w:ascii="Segoe UI" w:eastAsia="Times New Roman" w:hAnsi="Segoe UI" w:cs="Segoe UI"/>
          <w:color w:val="0F1115"/>
          <w:kern w:val="0"/>
          <w:lang w:eastAsia="fr-FR"/>
          <w14:ligatures w14:val="none"/>
        </w:rPr>
        <w:t> : Recrutement massif (pénurie de vocations)</w:t>
      </w:r>
    </w:p>
    <w:p w14:paraId="240332F1" w14:textId="77777777" w:rsidR="00677FC1" w:rsidRPr="00677FC1" w:rsidRDefault="00677FC1" w:rsidP="00677FC1">
      <w:pPr>
        <w:numPr>
          <w:ilvl w:val="0"/>
          <w:numId w:val="24"/>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Moyenne</w:t>
      </w:r>
    </w:p>
    <w:p w14:paraId="29C6043F"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DISRUPTIF</w:t>
      </w:r>
      <w:r w:rsidRPr="00677FC1">
        <w:rPr>
          <w:rFonts w:ascii="Segoe UI" w:eastAsia="Times New Roman" w:hAnsi="Segoe UI" w:cs="Segoe UI"/>
          <w:color w:val="0F1115"/>
          <w:kern w:val="0"/>
          <w:lang w:eastAsia="fr-FR"/>
          <w14:ligatures w14:val="none"/>
        </w:rPr>
        <w:t> (Investissement : +15 Md€/an)</w:t>
      </w:r>
    </w:p>
    <w:p w14:paraId="2C9D9D4F" w14:textId="77777777" w:rsidR="00677FC1" w:rsidRPr="00677FC1" w:rsidRDefault="00677FC1" w:rsidP="00677FC1">
      <w:pPr>
        <w:numPr>
          <w:ilvl w:val="0"/>
          <w:numId w:val="2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Réforme structurelle : autonomie totale des établissements, rémunération au mérite collective, suppression de la carte scolaire.</w:t>
      </w:r>
    </w:p>
    <w:p w14:paraId="35A8B0EC" w14:textId="77777777" w:rsidR="00677FC1" w:rsidRPr="00677FC1" w:rsidRDefault="00677FC1" w:rsidP="00677FC1">
      <w:pPr>
        <w:numPr>
          <w:ilvl w:val="0"/>
          <w:numId w:val="2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École obligatoire jusqu'à 18 ans avec double cursus (général et professionnel).</w:t>
      </w:r>
    </w:p>
    <w:p w14:paraId="239823AE" w14:textId="77777777" w:rsidR="00677FC1" w:rsidRPr="00677FC1" w:rsidRDefault="00677FC1" w:rsidP="00677FC1">
      <w:pPr>
        <w:numPr>
          <w:ilvl w:val="0"/>
          <w:numId w:val="2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Plan "enseignement numérique" massif.</w:t>
      </w:r>
    </w:p>
    <w:p w14:paraId="1E9D8ACD" w14:textId="77777777" w:rsidR="00677FC1" w:rsidRPr="00677FC1" w:rsidRDefault="00677FC1" w:rsidP="00677FC1">
      <w:pPr>
        <w:numPr>
          <w:ilvl w:val="0"/>
          <w:numId w:val="2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maximal</w:t>
      </w:r>
      <w:r w:rsidRPr="00677FC1">
        <w:rPr>
          <w:rFonts w:ascii="Segoe UI" w:eastAsia="Times New Roman" w:hAnsi="Segoe UI" w:cs="Segoe UI"/>
          <w:color w:val="0F1115"/>
          <w:kern w:val="0"/>
          <w:lang w:eastAsia="fr-FR"/>
          <w14:ligatures w14:val="none"/>
        </w:rPr>
        <w:t> : Conflit enseignant, perte d'égalité républicaine</w:t>
      </w:r>
    </w:p>
    <w:p w14:paraId="1CE2A3FB" w14:textId="77777777" w:rsidR="00677FC1" w:rsidRPr="00677FC1" w:rsidRDefault="00677FC1" w:rsidP="00677FC1">
      <w:pPr>
        <w:numPr>
          <w:ilvl w:val="0"/>
          <w:numId w:val="25"/>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Faible</w:t>
      </w:r>
    </w:p>
    <w:p w14:paraId="3DB98EEE" w14:textId="77777777" w:rsidR="00677FC1" w:rsidRPr="00677FC1" w:rsidRDefault="00677FC1" w:rsidP="00677FC1">
      <w:pPr>
        <w:spacing w:before="480" w:after="480" w:line="240" w:lineRule="auto"/>
        <w:rPr>
          <w:rFonts w:ascii="Segoe UI" w:eastAsia="Times New Roman" w:hAnsi="Segoe UI" w:cs="Segoe UI"/>
          <w:kern w:val="0"/>
          <w:lang w:eastAsia="fr-FR"/>
          <w14:ligatures w14:val="none"/>
        </w:rPr>
      </w:pPr>
      <w:r w:rsidRPr="00677FC1">
        <w:rPr>
          <w:rFonts w:ascii="Times New Roman" w:eastAsia="Times New Roman" w:hAnsi="Times New Roman" w:cs="Times New Roman"/>
          <w:kern w:val="0"/>
          <w:lang w:eastAsia="fr-FR"/>
          <w14:ligatures w14:val="none"/>
        </w:rPr>
        <w:lastRenderedPageBreak/>
        <w:pict w14:anchorId="2ADCBF06">
          <v:rect id="_x0000_i1036" style="width:0;height:.75pt" o:hralign="center" o:hrstd="t" o:hr="t" fillcolor="#a0a0a0" stroked="f"/>
        </w:pict>
      </w:r>
    </w:p>
    <w:p w14:paraId="12AD0386" w14:textId="77777777" w:rsidR="00677FC1" w:rsidRPr="00677FC1" w:rsidRDefault="00677FC1" w:rsidP="00677FC1">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677FC1">
        <w:rPr>
          <w:rFonts w:ascii="Segoe UI" w:eastAsia="Times New Roman" w:hAnsi="Segoe UI" w:cs="Segoe UI"/>
          <w:b/>
          <w:bCs/>
          <w:color w:val="0F1115"/>
          <w:kern w:val="0"/>
          <w:sz w:val="33"/>
          <w:szCs w:val="33"/>
          <w:lang w:eastAsia="fr-FR"/>
          <w14:ligatures w14:val="none"/>
        </w:rPr>
        <w:t>ÉTAPE 4 — Enveloppes consolidées et audit comptable</w:t>
      </w:r>
    </w:p>
    <w:p w14:paraId="126CF4F6"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Scénario PRUDENT (2027-2030)</w:t>
      </w:r>
    </w:p>
    <w:tbl>
      <w:tblPr>
        <w:tblW w:w="11280" w:type="dxa"/>
        <w:tblCellMar>
          <w:top w:w="15" w:type="dxa"/>
          <w:left w:w="15" w:type="dxa"/>
          <w:bottom w:w="15" w:type="dxa"/>
          <w:right w:w="15" w:type="dxa"/>
        </w:tblCellMar>
        <w:tblLook w:val="04A0" w:firstRow="1" w:lastRow="0" w:firstColumn="1" w:lastColumn="0" w:noHBand="0" w:noVBand="1"/>
      </w:tblPr>
      <w:tblGrid>
        <w:gridCol w:w="5239"/>
        <w:gridCol w:w="3285"/>
        <w:gridCol w:w="2756"/>
      </w:tblGrid>
      <w:tr w:rsidR="00677FC1" w:rsidRPr="00677FC1" w14:paraId="3AD466BC" w14:textId="77777777">
        <w:trPr>
          <w:tblHeader/>
        </w:trPr>
        <w:tc>
          <w:tcPr>
            <w:tcW w:w="0" w:type="auto"/>
            <w:tcBorders>
              <w:top w:val="nil"/>
            </w:tcBorders>
            <w:tcMar>
              <w:top w:w="150" w:type="dxa"/>
              <w:left w:w="0" w:type="dxa"/>
              <w:bottom w:w="150" w:type="dxa"/>
              <w:right w:w="240" w:type="dxa"/>
            </w:tcMar>
            <w:vAlign w:val="center"/>
            <w:hideMark/>
          </w:tcPr>
          <w:p w14:paraId="78FE4D9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Poste</w:t>
            </w:r>
          </w:p>
        </w:tc>
        <w:tc>
          <w:tcPr>
            <w:tcW w:w="0" w:type="auto"/>
            <w:tcBorders>
              <w:top w:val="nil"/>
            </w:tcBorders>
            <w:tcMar>
              <w:top w:w="150" w:type="dxa"/>
              <w:left w:w="240" w:type="dxa"/>
              <w:bottom w:w="150" w:type="dxa"/>
              <w:right w:w="240" w:type="dxa"/>
            </w:tcMar>
            <w:vAlign w:val="center"/>
            <w:hideMark/>
          </w:tcPr>
          <w:p w14:paraId="4EF2A97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Dépenses/Économies</w:t>
            </w:r>
          </w:p>
        </w:tc>
        <w:tc>
          <w:tcPr>
            <w:tcW w:w="0" w:type="auto"/>
            <w:tcBorders>
              <w:top w:val="nil"/>
            </w:tcBorders>
            <w:tcMar>
              <w:top w:w="150" w:type="dxa"/>
              <w:left w:w="240" w:type="dxa"/>
              <w:bottom w:w="150" w:type="dxa"/>
              <w:right w:w="240" w:type="dxa"/>
            </w:tcMar>
            <w:vAlign w:val="center"/>
            <w:hideMark/>
          </w:tcPr>
          <w:p w14:paraId="4E5C026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Montant Md€/an</w:t>
            </w:r>
          </w:p>
        </w:tc>
      </w:tr>
      <w:tr w:rsidR="00677FC1" w:rsidRPr="00677FC1" w14:paraId="7F4E1F3F" w14:textId="77777777">
        <w:tc>
          <w:tcPr>
            <w:tcW w:w="0" w:type="auto"/>
            <w:tcMar>
              <w:top w:w="150" w:type="dxa"/>
              <w:left w:w="0" w:type="dxa"/>
              <w:bottom w:w="150" w:type="dxa"/>
              <w:right w:w="240" w:type="dxa"/>
            </w:tcMar>
            <w:vAlign w:val="center"/>
            <w:hideMark/>
          </w:tcPr>
          <w:p w14:paraId="0175FAD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Maîtrise de la dépense</w:t>
            </w:r>
          </w:p>
        </w:tc>
        <w:tc>
          <w:tcPr>
            <w:tcW w:w="0" w:type="auto"/>
            <w:tcMar>
              <w:top w:w="150" w:type="dxa"/>
              <w:left w:w="240" w:type="dxa"/>
              <w:bottom w:w="150" w:type="dxa"/>
              <w:right w:w="240" w:type="dxa"/>
            </w:tcMar>
            <w:vAlign w:val="center"/>
            <w:hideMark/>
          </w:tcPr>
          <w:p w14:paraId="2623C01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Économies</w:t>
            </w:r>
          </w:p>
        </w:tc>
        <w:tc>
          <w:tcPr>
            <w:tcW w:w="0" w:type="auto"/>
            <w:tcMar>
              <w:top w:w="150" w:type="dxa"/>
              <w:left w:w="240" w:type="dxa"/>
              <w:bottom w:w="150" w:type="dxa"/>
              <w:right w:w="0" w:type="dxa"/>
            </w:tcMar>
            <w:vAlign w:val="center"/>
            <w:hideMark/>
          </w:tcPr>
          <w:p w14:paraId="448D645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-8</w:t>
            </w:r>
          </w:p>
        </w:tc>
      </w:tr>
      <w:tr w:rsidR="00677FC1" w:rsidRPr="00677FC1" w14:paraId="2404E646" w14:textId="77777777">
        <w:tc>
          <w:tcPr>
            <w:tcW w:w="0" w:type="auto"/>
            <w:tcMar>
              <w:top w:w="150" w:type="dxa"/>
              <w:left w:w="0" w:type="dxa"/>
              <w:bottom w:w="150" w:type="dxa"/>
              <w:right w:w="240" w:type="dxa"/>
            </w:tcMar>
            <w:vAlign w:val="center"/>
            <w:hideMark/>
          </w:tcPr>
          <w:p w14:paraId="7311B5B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Réforme retraite</w:t>
            </w:r>
          </w:p>
        </w:tc>
        <w:tc>
          <w:tcPr>
            <w:tcW w:w="0" w:type="auto"/>
            <w:tcMar>
              <w:top w:w="150" w:type="dxa"/>
              <w:left w:w="240" w:type="dxa"/>
              <w:bottom w:w="150" w:type="dxa"/>
              <w:right w:w="240" w:type="dxa"/>
            </w:tcMar>
            <w:vAlign w:val="center"/>
            <w:hideMark/>
          </w:tcPr>
          <w:p w14:paraId="0975E54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Économies</w:t>
            </w:r>
          </w:p>
        </w:tc>
        <w:tc>
          <w:tcPr>
            <w:tcW w:w="0" w:type="auto"/>
            <w:tcMar>
              <w:top w:w="150" w:type="dxa"/>
              <w:left w:w="240" w:type="dxa"/>
              <w:bottom w:w="150" w:type="dxa"/>
              <w:right w:w="0" w:type="dxa"/>
            </w:tcMar>
            <w:vAlign w:val="center"/>
            <w:hideMark/>
          </w:tcPr>
          <w:p w14:paraId="0AE8E77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w:t>
            </w:r>
          </w:p>
        </w:tc>
      </w:tr>
      <w:tr w:rsidR="00677FC1" w:rsidRPr="00677FC1" w14:paraId="324AEBAA" w14:textId="77777777">
        <w:tc>
          <w:tcPr>
            <w:tcW w:w="0" w:type="auto"/>
            <w:tcMar>
              <w:top w:w="150" w:type="dxa"/>
              <w:left w:w="0" w:type="dxa"/>
              <w:bottom w:w="150" w:type="dxa"/>
              <w:right w:w="240" w:type="dxa"/>
            </w:tcMar>
            <w:vAlign w:val="center"/>
            <w:hideMark/>
          </w:tcPr>
          <w:p w14:paraId="6B02D2A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Révision niches fiscales</w:t>
            </w:r>
          </w:p>
        </w:tc>
        <w:tc>
          <w:tcPr>
            <w:tcW w:w="0" w:type="auto"/>
            <w:tcMar>
              <w:top w:w="150" w:type="dxa"/>
              <w:left w:w="240" w:type="dxa"/>
              <w:bottom w:w="150" w:type="dxa"/>
              <w:right w:w="240" w:type="dxa"/>
            </w:tcMar>
            <w:vAlign w:val="center"/>
            <w:hideMark/>
          </w:tcPr>
          <w:p w14:paraId="665979C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Recettes</w:t>
            </w:r>
          </w:p>
        </w:tc>
        <w:tc>
          <w:tcPr>
            <w:tcW w:w="0" w:type="auto"/>
            <w:tcMar>
              <w:top w:w="150" w:type="dxa"/>
              <w:left w:w="240" w:type="dxa"/>
              <w:bottom w:w="150" w:type="dxa"/>
              <w:right w:w="0" w:type="dxa"/>
            </w:tcMar>
            <w:vAlign w:val="center"/>
            <w:hideMark/>
          </w:tcPr>
          <w:p w14:paraId="11A2EC2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-5</w:t>
            </w:r>
          </w:p>
        </w:tc>
      </w:tr>
      <w:tr w:rsidR="00677FC1" w:rsidRPr="00677FC1" w14:paraId="7E3DC222" w14:textId="77777777">
        <w:tc>
          <w:tcPr>
            <w:tcW w:w="0" w:type="auto"/>
            <w:tcMar>
              <w:top w:w="150" w:type="dxa"/>
              <w:left w:w="0" w:type="dxa"/>
              <w:bottom w:w="150" w:type="dxa"/>
              <w:right w:w="240" w:type="dxa"/>
            </w:tcMar>
            <w:vAlign w:val="center"/>
            <w:hideMark/>
          </w:tcPr>
          <w:p w14:paraId="7F3F9B8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SOUS-TOTAL ÉCONOMIES/RECETTES</w:t>
            </w:r>
          </w:p>
        </w:tc>
        <w:tc>
          <w:tcPr>
            <w:tcW w:w="0" w:type="auto"/>
            <w:tcMar>
              <w:top w:w="150" w:type="dxa"/>
              <w:left w:w="240" w:type="dxa"/>
              <w:bottom w:w="150" w:type="dxa"/>
              <w:right w:w="240" w:type="dxa"/>
            </w:tcMar>
            <w:vAlign w:val="center"/>
            <w:hideMark/>
          </w:tcPr>
          <w:p w14:paraId="463E111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p>
        </w:tc>
        <w:tc>
          <w:tcPr>
            <w:tcW w:w="0" w:type="auto"/>
            <w:tcMar>
              <w:top w:w="150" w:type="dxa"/>
              <w:left w:w="240" w:type="dxa"/>
              <w:bottom w:w="150" w:type="dxa"/>
              <w:right w:w="0" w:type="dxa"/>
            </w:tcMar>
            <w:vAlign w:val="center"/>
            <w:hideMark/>
          </w:tcPr>
          <w:p w14:paraId="562255A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-16</w:t>
            </w:r>
          </w:p>
        </w:tc>
      </w:tr>
      <w:tr w:rsidR="00677FC1" w:rsidRPr="00677FC1" w14:paraId="5F316888" w14:textId="77777777">
        <w:tc>
          <w:tcPr>
            <w:tcW w:w="0" w:type="auto"/>
            <w:tcMar>
              <w:top w:w="150" w:type="dxa"/>
              <w:left w:w="0" w:type="dxa"/>
              <w:bottom w:w="150" w:type="dxa"/>
              <w:right w:w="240" w:type="dxa"/>
            </w:tcMar>
            <w:vAlign w:val="center"/>
            <w:hideMark/>
          </w:tcPr>
          <w:p w14:paraId="224D8EF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Défense</w:t>
            </w:r>
          </w:p>
        </w:tc>
        <w:tc>
          <w:tcPr>
            <w:tcW w:w="0" w:type="auto"/>
            <w:tcMar>
              <w:top w:w="150" w:type="dxa"/>
              <w:left w:w="240" w:type="dxa"/>
              <w:bottom w:w="150" w:type="dxa"/>
              <w:right w:w="240" w:type="dxa"/>
            </w:tcMar>
            <w:vAlign w:val="center"/>
            <w:hideMark/>
          </w:tcPr>
          <w:p w14:paraId="1472298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7AB0797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+5</w:t>
            </w:r>
          </w:p>
        </w:tc>
      </w:tr>
      <w:tr w:rsidR="00677FC1" w:rsidRPr="00677FC1" w14:paraId="0AF7A91B" w14:textId="77777777">
        <w:tc>
          <w:tcPr>
            <w:tcW w:w="0" w:type="auto"/>
            <w:tcMar>
              <w:top w:w="150" w:type="dxa"/>
              <w:left w:w="0" w:type="dxa"/>
              <w:bottom w:w="150" w:type="dxa"/>
              <w:right w:w="240" w:type="dxa"/>
            </w:tcMar>
            <w:vAlign w:val="center"/>
            <w:hideMark/>
          </w:tcPr>
          <w:p w14:paraId="0584053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Énergie</w:t>
            </w:r>
          </w:p>
        </w:tc>
        <w:tc>
          <w:tcPr>
            <w:tcW w:w="0" w:type="auto"/>
            <w:tcMar>
              <w:top w:w="150" w:type="dxa"/>
              <w:left w:w="240" w:type="dxa"/>
              <w:bottom w:w="150" w:type="dxa"/>
              <w:right w:w="240" w:type="dxa"/>
            </w:tcMar>
            <w:vAlign w:val="center"/>
            <w:hideMark/>
          </w:tcPr>
          <w:p w14:paraId="34C8163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7B085D7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+5</w:t>
            </w:r>
          </w:p>
        </w:tc>
      </w:tr>
      <w:tr w:rsidR="00677FC1" w:rsidRPr="00677FC1" w14:paraId="60DC72A6" w14:textId="77777777">
        <w:tc>
          <w:tcPr>
            <w:tcW w:w="0" w:type="auto"/>
            <w:tcMar>
              <w:top w:w="150" w:type="dxa"/>
              <w:left w:w="0" w:type="dxa"/>
              <w:bottom w:w="150" w:type="dxa"/>
              <w:right w:w="240" w:type="dxa"/>
            </w:tcMar>
            <w:vAlign w:val="center"/>
            <w:hideMark/>
          </w:tcPr>
          <w:p w14:paraId="5A1F2DB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Numérisation</w:t>
            </w:r>
          </w:p>
        </w:tc>
        <w:tc>
          <w:tcPr>
            <w:tcW w:w="0" w:type="auto"/>
            <w:tcMar>
              <w:top w:w="150" w:type="dxa"/>
              <w:left w:w="240" w:type="dxa"/>
              <w:bottom w:w="150" w:type="dxa"/>
              <w:right w:w="240" w:type="dxa"/>
            </w:tcMar>
            <w:vAlign w:val="center"/>
            <w:hideMark/>
          </w:tcPr>
          <w:p w14:paraId="792A05E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 net</w:t>
            </w:r>
          </w:p>
        </w:tc>
        <w:tc>
          <w:tcPr>
            <w:tcW w:w="0" w:type="auto"/>
            <w:tcMar>
              <w:top w:w="150" w:type="dxa"/>
              <w:left w:w="240" w:type="dxa"/>
              <w:bottom w:w="150" w:type="dxa"/>
              <w:right w:w="0" w:type="dxa"/>
            </w:tcMar>
            <w:vAlign w:val="center"/>
            <w:hideMark/>
          </w:tcPr>
          <w:p w14:paraId="5C310D6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w:t>
            </w:r>
          </w:p>
        </w:tc>
      </w:tr>
      <w:tr w:rsidR="00677FC1" w:rsidRPr="00677FC1" w14:paraId="2888A213" w14:textId="77777777">
        <w:tc>
          <w:tcPr>
            <w:tcW w:w="0" w:type="auto"/>
            <w:tcMar>
              <w:top w:w="150" w:type="dxa"/>
              <w:left w:w="0" w:type="dxa"/>
              <w:bottom w:w="150" w:type="dxa"/>
              <w:right w:w="240" w:type="dxa"/>
            </w:tcMar>
            <w:vAlign w:val="center"/>
            <w:hideMark/>
          </w:tcPr>
          <w:p w14:paraId="04272DA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Petite enfance</w:t>
            </w:r>
          </w:p>
        </w:tc>
        <w:tc>
          <w:tcPr>
            <w:tcW w:w="0" w:type="auto"/>
            <w:tcMar>
              <w:top w:w="150" w:type="dxa"/>
              <w:left w:w="240" w:type="dxa"/>
              <w:bottom w:w="150" w:type="dxa"/>
              <w:right w:w="240" w:type="dxa"/>
            </w:tcMar>
            <w:vAlign w:val="center"/>
            <w:hideMark/>
          </w:tcPr>
          <w:p w14:paraId="6E0F80B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63C8C70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w:t>
            </w:r>
          </w:p>
        </w:tc>
      </w:tr>
      <w:tr w:rsidR="00677FC1" w:rsidRPr="00677FC1" w14:paraId="019458AE" w14:textId="77777777">
        <w:tc>
          <w:tcPr>
            <w:tcW w:w="0" w:type="auto"/>
            <w:tcMar>
              <w:top w:w="150" w:type="dxa"/>
              <w:left w:w="0" w:type="dxa"/>
              <w:bottom w:w="150" w:type="dxa"/>
              <w:right w:w="240" w:type="dxa"/>
            </w:tcMar>
            <w:vAlign w:val="center"/>
            <w:hideMark/>
          </w:tcPr>
          <w:p w14:paraId="1CBE8BC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Éducation</w:t>
            </w:r>
          </w:p>
        </w:tc>
        <w:tc>
          <w:tcPr>
            <w:tcW w:w="0" w:type="auto"/>
            <w:tcMar>
              <w:top w:w="150" w:type="dxa"/>
              <w:left w:w="240" w:type="dxa"/>
              <w:bottom w:w="150" w:type="dxa"/>
              <w:right w:w="240" w:type="dxa"/>
            </w:tcMar>
            <w:vAlign w:val="center"/>
            <w:hideMark/>
          </w:tcPr>
          <w:p w14:paraId="5504C86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3387F37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w:t>
            </w:r>
          </w:p>
        </w:tc>
      </w:tr>
      <w:tr w:rsidR="00677FC1" w:rsidRPr="00677FC1" w14:paraId="01EDCF25" w14:textId="77777777">
        <w:tc>
          <w:tcPr>
            <w:tcW w:w="0" w:type="auto"/>
            <w:tcMar>
              <w:top w:w="150" w:type="dxa"/>
              <w:left w:w="0" w:type="dxa"/>
              <w:bottom w:w="150" w:type="dxa"/>
              <w:right w:w="240" w:type="dxa"/>
            </w:tcMar>
            <w:vAlign w:val="center"/>
            <w:hideMark/>
          </w:tcPr>
          <w:p w14:paraId="331AB80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SOUS-TOTAL DÉPENSES NOUVELLES</w:t>
            </w:r>
          </w:p>
        </w:tc>
        <w:tc>
          <w:tcPr>
            <w:tcW w:w="0" w:type="auto"/>
            <w:tcMar>
              <w:top w:w="150" w:type="dxa"/>
              <w:left w:w="240" w:type="dxa"/>
              <w:bottom w:w="150" w:type="dxa"/>
              <w:right w:w="240" w:type="dxa"/>
            </w:tcMar>
            <w:vAlign w:val="center"/>
            <w:hideMark/>
          </w:tcPr>
          <w:p w14:paraId="2312631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p>
        </w:tc>
        <w:tc>
          <w:tcPr>
            <w:tcW w:w="0" w:type="auto"/>
            <w:tcMar>
              <w:top w:w="150" w:type="dxa"/>
              <w:left w:w="240" w:type="dxa"/>
              <w:bottom w:w="150" w:type="dxa"/>
              <w:right w:w="0" w:type="dxa"/>
            </w:tcMar>
            <w:vAlign w:val="center"/>
            <w:hideMark/>
          </w:tcPr>
          <w:p w14:paraId="1371704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+14</w:t>
            </w:r>
          </w:p>
        </w:tc>
      </w:tr>
      <w:tr w:rsidR="00677FC1" w:rsidRPr="00677FC1" w14:paraId="284A9A20" w14:textId="77777777">
        <w:tc>
          <w:tcPr>
            <w:tcW w:w="0" w:type="auto"/>
            <w:tcMar>
              <w:top w:w="150" w:type="dxa"/>
              <w:left w:w="0" w:type="dxa"/>
              <w:bottom w:w="150" w:type="dxa"/>
              <w:right w:w="240" w:type="dxa"/>
            </w:tcMar>
            <w:vAlign w:val="center"/>
            <w:hideMark/>
          </w:tcPr>
          <w:p w14:paraId="1B306AC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SOLDE ANNUEL NET</w:t>
            </w:r>
          </w:p>
        </w:tc>
        <w:tc>
          <w:tcPr>
            <w:tcW w:w="0" w:type="auto"/>
            <w:tcMar>
              <w:top w:w="150" w:type="dxa"/>
              <w:left w:w="240" w:type="dxa"/>
              <w:bottom w:w="150" w:type="dxa"/>
              <w:right w:w="240" w:type="dxa"/>
            </w:tcMar>
            <w:vAlign w:val="center"/>
            <w:hideMark/>
          </w:tcPr>
          <w:p w14:paraId="2B7C926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p>
        </w:tc>
        <w:tc>
          <w:tcPr>
            <w:tcW w:w="0" w:type="auto"/>
            <w:tcMar>
              <w:top w:w="150" w:type="dxa"/>
              <w:left w:w="240" w:type="dxa"/>
              <w:bottom w:w="150" w:type="dxa"/>
              <w:right w:w="0" w:type="dxa"/>
            </w:tcMar>
            <w:vAlign w:val="center"/>
            <w:hideMark/>
          </w:tcPr>
          <w:p w14:paraId="650913D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-2</w:t>
            </w:r>
            <w:r w:rsidRPr="00677FC1">
              <w:rPr>
                <w:rFonts w:ascii="Segoe UI" w:eastAsia="Times New Roman" w:hAnsi="Segoe UI" w:cs="Segoe UI"/>
                <w:kern w:val="0"/>
                <w:sz w:val="23"/>
                <w:szCs w:val="23"/>
                <w:lang w:eastAsia="fr-FR"/>
                <w14:ligatures w14:val="none"/>
              </w:rPr>
              <w:t> (léger excédent)</w:t>
            </w:r>
          </w:p>
        </w:tc>
      </w:tr>
    </w:tbl>
    <w:p w14:paraId="51078149"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Effet sur le déficit</w:t>
      </w:r>
      <w:r w:rsidRPr="00677FC1">
        <w:rPr>
          <w:rFonts w:ascii="Segoe UI" w:eastAsia="Times New Roman" w:hAnsi="Segoe UI" w:cs="Segoe UI"/>
          <w:color w:val="0F1115"/>
          <w:kern w:val="0"/>
          <w:lang w:eastAsia="fr-FR"/>
          <w14:ligatures w14:val="none"/>
        </w:rPr>
        <w:t> : Réduction de 2 Md€/an, soit ~0,07 point de PIB. Le déficit 2026 (5% PIB) passerait à ~4,8% en 2027, encore loin des 3%.</w:t>
      </w:r>
    </w:p>
    <w:p w14:paraId="27F7A82F"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Dette</w:t>
      </w:r>
      <w:r w:rsidRPr="00677FC1">
        <w:rPr>
          <w:rFonts w:ascii="Segoe UI" w:eastAsia="Times New Roman" w:hAnsi="Segoe UI" w:cs="Segoe UI"/>
          <w:color w:val="0F1115"/>
          <w:kern w:val="0"/>
          <w:lang w:eastAsia="fr-FR"/>
          <w14:ligatures w14:val="none"/>
        </w:rPr>
        <w:t> : Hausse ralentie mais continue (118% → ~117,5% PIB à fin 2027). Charge d'intérêts en hausse (+3 Md€/an).</w:t>
      </w:r>
    </w:p>
    <w:p w14:paraId="62FBE4AB"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Crédibilité</w:t>
      </w:r>
      <w:r w:rsidRPr="00677FC1">
        <w:rPr>
          <w:rFonts w:ascii="Segoe UI" w:eastAsia="Times New Roman" w:hAnsi="Segoe UI" w:cs="Segoe UI"/>
          <w:color w:val="0F1115"/>
          <w:kern w:val="0"/>
          <w:lang w:eastAsia="fr-FR"/>
          <w14:ligatures w14:val="none"/>
        </w:rPr>
        <w:t> : Élevée. Mesures incrémentales, socialement acceptables.</w:t>
      </w:r>
    </w:p>
    <w:p w14:paraId="74806CE7" w14:textId="77777777" w:rsidR="00677FC1" w:rsidRPr="00677FC1" w:rsidRDefault="00677FC1" w:rsidP="00677FC1">
      <w:pPr>
        <w:spacing w:before="480" w:after="480" w:line="240" w:lineRule="auto"/>
        <w:rPr>
          <w:rFonts w:ascii="Segoe UI" w:eastAsia="Times New Roman" w:hAnsi="Segoe UI" w:cs="Segoe UI"/>
          <w:kern w:val="0"/>
          <w:lang w:eastAsia="fr-FR"/>
          <w14:ligatures w14:val="none"/>
        </w:rPr>
      </w:pPr>
      <w:r w:rsidRPr="00677FC1">
        <w:rPr>
          <w:rFonts w:ascii="Times New Roman" w:eastAsia="Times New Roman" w:hAnsi="Times New Roman" w:cs="Times New Roman"/>
          <w:kern w:val="0"/>
          <w:lang w:eastAsia="fr-FR"/>
          <w14:ligatures w14:val="none"/>
        </w:rPr>
        <w:pict w14:anchorId="71990532">
          <v:rect id="_x0000_i1037" style="width:0;height:.75pt" o:hralign="center" o:hrstd="t" o:hr="t" fillcolor="#a0a0a0" stroked="f"/>
        </w:pict>
      </w:r>
    </w:p>
    <w:p w14:paraId="7DDED2A0"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lastRenderedPageBreak/>
        <w:t>Scénario AMBITIEUX (2027-2030)</w:t>
      </w:r>
    </w:p>
    <w:tbl>
      <w:tblPr>
        <w:tblW w:w="11280" w:type="dxa"/>
        <w:tblCellMar>
          <w:top w:w="15" w:type="dxa"/>
          <w:left w:w="15" w:type="dxa"/>
          <w:bottom w:w="15" w:type="dxa"/>
          <w:right w:w="15" w:type="dxa"/>
        </w:tblCellMar>
        <w:tblLook w:val="04A0" w:firstRow="1" w:lastRow="0" w:firstColumn="1" w:lastColumn="0" w:noHBand="0" w:noVBand="1"/>
      </w:tblPr>
      <w:tblGrid>
        <w:gridCol w:w="5239"/>
        <w:gridCol w:w="3285"/>
        <w:gridCol w:w="2756"/>
      </w:tblGrid>
      <w:tr w:rsidR="00677FC1" w:rsidRPr="00677FC1" w14:paraId="23257434" w14:textId="77777777">
        <w:trPr>
          <w:tblHeader/>
        </w:trPr>
        <w:tc>
          <w:tcPr>
            <w:tcW w:w="0" w:type="auto"/>
            <w:tcBorders>
              <w:top w:val="nil"/>
            </w:tcBorders>
            <w:tcMar>
              <w:top w:w="150" w:type="dxa"/>
              <w:left w:w="0" w:type="dxa"/>
              <w:bottom w:w="150" w:type="dxa"/>
              <w:right w:w="240" w:type="dxa"/>
            </w:tcMar>
            <w:vAlign w:val="center"/>
            <w:hideMark/>
          </w:tcPr>
          <w:p w14:paraId="684335F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Poste</w:t>
            </w:r>
          </w:p>
        </w:tc>
        <w:tc>
          <w:tcPr>
            <w:tcW w:w="0" w:type="auto"/>
            <w:tcBorders>
              <w:top w:val="nil"/>
            </w:tcBorders>
            <w:tcMar>
              <w:top w:w="150" w:type="dxa"/>
              <w:left w:w="240" w:type="dxa"/>
              <w:bottom w:w="150" w:type="dxa"/>
              <w:right w:w="240" w:type="dxa"/>
            </w:tcMar>
            <w:vAlign w:val="center"/>
            <w:hideMark/>
          </w:tcPr>
          <w:p w14:paraId="7579351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Dépenses/Économies</w:t>
            </w:r>
          </w:p>
        </w:tc>
        <w:tc>
          <w:tcPr>
            <w:tcW w:w="0" w:type="auto"/>
            <w:tcBorders>
              <w:top w:val="nil"/>
            </w:tcBorders>
            <w:tcMar>
              <w:top w:w="150" w:type="dxa"/>
              <w:left w:w="240" w:type="dxa"/>
              <w:bottom w:w="150" w:type="dxa"/>
              <w:right w:w="240" w:type="dxa"/>
            </w:tcMar>
            <w:vAlign w:val="center"/>
            <w:hideMark/>
          </w:tcPr>
          <w:p w14:paraId="45F6ABB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Montant Md€/an</w:t>
            </w:r>
          </w:p>
        </w:tc>
      </w:tr>
      <w:tr w:rsidR="00677FC1" w:rsidRPr="00677FC1" w14:paraId="76E0A315" w14:textId="77777777">
        <w:tc>
          <w:tcPr>
            <w:tcW w:w="0" w:type="auto"/>
            <w:tcMar>
              <w:top w:w="150" w:type="dxa"/>
              <w:left w:w="0" w:type="dxa"/>
              <w:bottom w:w="150" w:type="dxa"/>
              <w:right w:w="240" w:type="dxa"/>
            </w:tcMar>
            <w:vAlign w:val="center"/>
            <w:hideMark/>
          </w:tcPr>
          <w:p w14:paraId="6EE7ACA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Maîtrise de la dépense</w:t>
            </w:r>
          </w:p>
        </w:tc>
        <w:tc>
          <w:tcPr>
            <w:tcW w:w="0" w:type="auto"/>
            <w:tcMar>
              <w:top w:w="150" w:type="dxa"/>
              <w:left w:w="240" w:type="dxa"/>
              <w:bottom w:w="150" w:type="dxa"/>
              <w:right w:w="240" w:type="dxa"/>
            </w:tcMar>
            <w:vAlign w:val="center"/>
            <w:hideMark/>
          </w:tcPr>
          <w:p w14:paraId="48D6901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Économies</w:t>
            </w:r>
          </w:p>
        </w:tc>
        <w:tc>
          <w:tcPr>
            <w:tcW w:w="0" w:type="auto"/>
            <w:tcMar>
              <w:top w:w="150" w:type="dxa"/>
              <w:left w:w="240" w:type="dxa"/>
              <w:bottom w:w="150" w:type="dxa"/>
              <w:right w:w="0" w:type="dxa"/>
            </w:tcMar>
            <w:vAlign w:val="center"/>
            <w:hideMark/>
          </w:tcPr>
          <w:p w14:paraId="6A6319C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w:t>
            </w:r>
          </w:p>
        </w:tc>
      </w:tr>
      <w:tr w:rsidR="00677FC1" w:rsidRPr="00677FC1" w14:paraId="0D1BB862" w14:textId="77777777">
        <w:tc>
          <w:tcPr>
            <w:tcW w:w="0" w:type="auto"/>
            <w:tcMar>
              <w:top w:w="150" w:type="dxa"/>
              <w:left w:w="0" w:type="dxa"/>
              <w:bottom w:w="150" w:type="dxa"/>
              <w:right w:w="240" w:type="dxa"/>
            </w:tcMar>
            <w:vAlign w:val="center"/>
            <w:hideMark/>
          </w:tcPr>
          <w:p w14:paraId="22DD5AE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Réforme retraite</w:t>
            </w:r>
          </w:p>
        </w:tc>
        <w:tc>
          <w:tcPr>
            <w:tcW w:w="0" w:type="auto"/>
            <w:tcMar>
              <w:top w:w="150" w:type="dxa"/>
              <w:left w:w="240" w:type="dxa"/>
              <w:bottom w:w="150" w:type="dxa"/>
              <w:right w:w="240" w:type="dxa"/>
            </w:tcMar>
            <w:vAlign w:val="center"/>
            <w:hideMark/>
          </w:tcPr>
          <w:p w14:paraId="20F46C7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Économies</w:t>
            </w:r>
          </w:p>
        </w:tc>
        <w:tc>
          <w:tcPr>
            <w:tcW w:w="0" w:type="auto"/>
            <w:tcMar>
              <w:top w:w="150" w:type="dxa"/>
              <w:left w:w="240" w:type="dxa"/>
              <w:bottom w:w="150" w:type="dxa"/>
              <w:right w:w="0" w:type="dxa"/>
            </w:tcMar>
            <w:vAlign w:val="center"/>
            <w:hideMark/>
          </w:tcPr>
          <w:p w14:paraId="5BF2CFD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-10</w:t>
            </w:r>
          </w:p>
        </w:tc>
      </w:tr>
      <w:tr w:rsidR="00677FC1" w:rsidRPr="00677FC1" w14:paraId="68BE95E7" w14:textId="77777777">
        <w:tc>
          <w:tcPr>
            <w:tcW w:w="0" w:type="auto"/>
            <w:tcMar>
              <w:top w:w="150" w:type="dxa"/>
              <w:left w:w="0" w:type="dxa"/>
              <w:bottom w:w="150" w:type="dxa"/>
              <w:right w:w="240" w:type="dxa"/>
            </w:tcMar>
            <w:vAlign w:val="center"/>
            <w:hideMark/>
          </w:tcPr>
          <w:p w14:paraId="7B7D3C3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Révision niches</w:t>
            </w:r>
          </w:p>
        </w:tc>
        <w:tc>
          <w:tcPr>
            <w:tcW w:w="0" w:type="auto"/>
            <w:tcMar>
              <w:top w:w="150" w:type="dxa"/>
              <w:left w:w="240" w:type="dxa"/>
              <w:bottom w:w="150" w:type="dxa"/>
              <w:right w:w="240" w:type="dxa"/>
            </w:tcMar>
            <w:vAlign w:val="center"/>
            <w:hideMark/>
          </w:tcPr>
          <w:p w14:paraId="0E7B5E0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Recettes</w:t>
            </w:r>
          </w:p>
        </w:tc>
        <w:tc>
          <w:tcPr>
            <w:tcW w:w="0" w:type="auto"/>
            <w:tcMar>
              <w:top w:w="150" w:type="dxa"/>
              <w:left w:w="240" w:type="dxa"/>
              <w:bottom w:w="150" w:type="dxa"/>
              <w:right w:w="0" w:type="dxa"/>
            </w:tcMar>
            <w:vAlign w:val="center"/>
            <w:hideMark/>
          </w:tcPr>
          <w:p w14:paraId="2DD1E80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-15</w:t>
            </w:r>
          </w:p>
        </w:tc>
      </w:tr>
      <w:tr w:rsidR="00677FC1" w:rsidRPr="00677FC1" w14:paraId="0CC296CE" w14:textId="77777777">
        <w:tc>
          <w:tcPr>
            <w:tcW w:w="0" w:type="auto"/>
            <w:tcMar>
              <w:top w:w="150" w:type="dxa"/>
              <w:left w:w="0" w:type="dxa"/>
              <w:bottom w:w="150" w:type="dxa"/>
              <w:right w:w="240" w:type="dxa"/>
            </w:tcMar>
            <w:vAlign w:val="center"/>
            <w:hideMark/>
          </w:tcPr>
          <w:p w14:paraId="72899E7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SOUS-TOTAL ÉCONOMIES/RECETTES</w:t>
            </w:r>
          </w:p>
        </w:tc>
        <w:tc>
          <w:tcPr>
            <w:tcW w:w="0" w:type="auto"/>
            <w:tcMar>
              <w:top w:w="150" w:type="dxa"/>
              <w:left w:w="240" w:type="dxa"/>
              <w:bottom w:w="150" w:type="dxa"/>
              <w:right w:w="240" w:type="dxa"/>
            </w:tcMar>
            <w:vAlign w:val="center"/>
            <w:hideMark/>
          </w:tcPr>
          <w:p w14:paraId="2490925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p>
        </w:tc>
        <w:tc>
          <w:tcPr>
            <w:tcW w:w="0" w:type="auto"/>
            <w:tcMar>
              <w:top w:w="150" w:type="dxa"/>
              <w:left w:w="240" w:type="dxa"/>
              <w:bottom w:w="150" w:type="dxa"/>
              <w:right w:w="0" w:type="dxa"/>
            </w:tcMar>
            <w:vAlign w:val="center"/>
            <w:hideMark/>
          </w:tcPr>
          <w:p w14:paraId="594A26E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-45</w:t>
            </w:r>
          </w:p>
        </w:tc>
      </w:tr>
      <w:tr w:rsidR="00677FC1" w:rsidRPr="00677FC1" w14:paraId="7104E979" w14:textId="77777777">
        <w:tc>
          <w:tcPr>
            <w:tcW w:w="0" w:type="auto"/>
            <w:tcMar>
              <w:top w:w="150" w:type="dxa"/>
              <w:left w:w="0" w:type="dxa"/>
              <w:bottom w:w="150" w:type="dxa"/>
              <w:right w:w="240" w:type="dxa"/>
            </w:tcMar>
            <w:vAlign w:val="center"/>
            <w:hideMark/>
          </w:tcPr>
          <w:p w14:paraId="2020032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Défense</w:t>
            </w:r>
          </w:p>
        </w:tc>
        <w:tc>
          <w:tcPr>
            <w:tcW w:w="0" w:type="auto"/>
            <w:tcMar>
              <w:top w:w="150" w:type="dxa"/>
              <w:left w:w="240" w:type="dxa"/>
              <w:bottom w:w="150" w:type="dxa"/>
              <w:right w:w="240" w:type="dxa"/>
            </w:tcMar>
            <w:vAlign w:val="center"/>
            <w:hideMark/>
          </w:tcPr>
          <w:p w14:paraId="0724B58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26539EE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+15</w:t>
            </w:r>
          </w:p>
        </w:tc>
      </w:tr>
      <w:tr w:rsidR="00677FC1" w:rsidRPr="00677FC1" w14:paraId="2D19BB65" w14:textId="77777777">
        <w:tc>
          <w:tcPr>
            <w:tcW w:w="0" w:type="auto"/>
            <w:tcMar>
              <w:top w:w="150" w:type="dxa"/>
              <w:left w:w="0" w:type="dxa"/>
              <w:bottom w:w="150" w:type="dxa"/>
              <w:right w:w="240" w:type="dxa"/>
            </w:tcMar>
            <w:vAlign w:val="center"/>
            <w:hideMark/>
          </w:tcPr>
          <w:p w14:paraId="647DBF1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Énergie</w:t>
            </w:r>
          </w:p>
        </w:tc>
        <w:tc>
          <w:tcPr>
            <w:tcW w:w="0" w:type="auto"/>
            <w:tcMar>
              <w:top w:w="150" w:type="dxa"/>
              <w:left w:w="240" w:type="dxa"/>
              <w:bottom w:w="150" w:type="dxa"/>
              <w:right w:w="240" w:type="dxa"/>
            </w:tcMar>
            <w:vAlign w:val="center"/>
            <w:hideMark/>
          </w:tcPr>
          <w:p w14:paraId="4717CF9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778464B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+15</w:t>
            </w:r>
          </w:p>
        </w:tc>
      </w:tr>
      <w:tr w:rsidR="00677FC1" w:rsidRPr="00677FC1" w14:paraId="61FB476E" w14:textId="77777777">
        <w:tc>
          <w:tcPr>
            <w:tcW w:w="0" w:type="auto"/>
            <w:tcMar>
              <w:top w:w="150" w:type="dxa"/>
              <w:left w:w="0" w:type="dxa"/>
              <w:bottom w:w="150" w:type="dxa"/>
              <w:right w:w="240" w:type="dxa"/>
            </w:tcMar>
            <w:vAlign w:val="center"/>
            <w:hideMark/>
          </w:tcPr>
          <w:p w14:paraId="4F36DA9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Numérisation</w:t>
            </w:r>
          </w:p>
        </w:tc>
        <w:tc>
          <w:tcPr>
            <w:tcW w:w="0" w:type="auto"/>
            <w:tcMar>
              <w:top w:w="150" w:type="dxa"/>
              <w:left w:w="240" w:type="dxa"/>
              <w:bottom w:w="150" w:type="dxa"/>
              <w:right w:w="240" w:type="dxa"/>
            </w:tcMar>
            <w:vAlign w:val="center"/>
            <w:hideMark/>
          </w:tcPr>
          <w:p w14:paraId="066CEF4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 net</w:t>
            </w:r>
          </w:p>
        </w:tc>
        <w:tc>
          <w:tcPr>
            <w:tcW w:w="0" w:type="auto"/>
            <w:tcMar>
              <w:top w:w="150" w:type="dxa"/>
              <w:left w:w="240" w:type="dxa"/>
              <w:bottom w:w="150" w:type="dxa"/>
              <w:right w:w="0" w:type="dxa"/>
            </w:tcMar>
            <w:vAlign w:val="center"/>
            <w:hideMark/>
          </w:tcPr>
          <w:p w14:paraId="1C25675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w:t>
            </w:r>
          </w:p>
        </w:tc>
      </w:tr>
      <w:tr w:rsidR="00677FC1" w:rsidRPr="00677FC1" w14:paraId="1449CEF2" w14:textId="77777777">
        <w:tc>
          <w:tcPr>
            <w:tcW w:w="0" w:type="auto"/>
            <w:tcMar>
              <w:top w:w="150" w:type="dxa"/>
              <w:left w:w="0" w:type="dxa"/>
              <w:bottom w:w="150" w:type="dxa"/>
              <w:right w:w="240" w:type="dxa"/>
            </w:tcMar>
            <w:vAlign w:val="center"/>
            <w:hideMark/>
          </w:tcPr>
          <w:p w14:paraId="7FF02F5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Petite enfance</w:t>
            </w:r>
          </w:p>
        </w:tc>
        <w:tc>
          <w:tcPr>
            <w:tcW w:w="0" w:type="auto"/>
            <w:tcMar>
              <w:top w:w="150" w:type="dxa"/>
              <w:left w:w="240" w:type="dxa"/>
              <w:bottom w:w="150" w:type="dxa"/>
              <w:right w:w="240" w:type="dxa"/>
            </w:tcMar>
            <w:vAlign w:val="center"/>
            <w:hideMark/>
          </w:tcPr>
          <w:p w14:paraId="3C54D10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1CE4E59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+10</w:t>
            </w:r>
          </w:p>
        </w:tc>
      </w:tr>
      <w:tr w:rsidR="00677FC1" w:rsidRPr="00677FC1" w14:paraId="10232C4F" w14:textId="77777777">
        <w:tc>
          <w:tcPr>
            <w:tcW w:w="0" w:type="auto"/>
            <w:tcMar>
              <w:top w:w="150" w:type="dxa"/>
              <w:left w:w="0" w:type="dxa"/>
              <w:bottom w:w="150" w:type="dxa"/>
              <w:right w:w="240" w:type="dxa"/>
            </w:tcMar>
            <w:vAlign w:val="center"/>
            <w:hideMark/>
          </w:tcPr>
          <w:p w14:paraId="6E94C6A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Éducation</w:t>
            </w:r>
          </w:p>
        </w:tc>
        <w:tc>
          <w:tcPr>
            <w:tcW w:w="0" w:type="auto"/>
            <w:tcMar>
              <w:top w:w="150" w:type="dxa"/>
              <w:left w:w="240" w:type="dxa"/>
              <w:bottom w:w="150" w:type="dxa"/>
              <w:right w:w="240" w:type="dxa"/>
            </w:tcMar>
            <w:vAlign w:val="center"/>
            <w:hideMark/>
          </w:tcPr>
          <w:p w14:paraId="5C9592A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71276A3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+8</w:t>
            </w:r>
          </w:p>
        </w:tc>
      </w:tr>
      <w:tr w:rsidR="00677FC1" w:rsidRPr="00677FC1" w14:paraId="2A041788" w14:textId="77777777">
        <w:tc>
          <w:tcPr>
            <w:tcW w:w="0" w:type="auto"/>
            <w:tcMar>
              <w:top w:w="150" w:type="dxa"/>
              <w:left w:w="0" w:type="dxa"/>
              <w:bottom w:w="150" w:type="dxa"/>
              <w:right w:w="240" w:type="dxa"/>
            </w:tcMar>
            <w:vAlign w:val="center"/>
            <w:hideMark/>
          </w:tcPr>
          <w:p w14:paraId="3067822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SOUS-TOTAL DÉPENSES NOUVELLES</w:t>
            </w:r>
          </w:p>
        </w:tc>
        <w:tc>
          <w:tcPr>
            <w:tcW w:w="0" w:type="auto"/>
            <w:tcMar>
              <w:top w:w="150" w:type="dxa"/>
              <w:left w:w="240" w:type="dxa"/>
              <w:bottom w:w="150" w:type="dxa"/>
              <w:right w:w="240" w:type="dxa"/>
            </w:tcMar>
            <w:vAlign w:val="center"/>
            <w:hideMark/>
          </w:tcPr>
          <w:p w14:paraId="0DF8050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p>
        </w:tc>
        <w:tc>
          <w:tcPr>
            <w:tcW w:w="0" w:type="auto"/>
            <w:tcMar>
              <w:top w:w="150" w:type="dxa"/>
              <w:left w:w="240" w:type="dxa"/>
              <w:bottom w:w="150" w:type="dxa"/>
              <w:right w:w="0" w:type="dxa"/>
            </w:tcMar>
            <w:vAlign w:val="center"/>
            <w:hideMark/>
          </w:tcPr>
          <w:p w14:paraId="7EE4C91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+45</w:t>
            </w:r>
          </w:p>
        </w:tc>
      </w:tr>
    </w:tbl>
    <w:p w14:paraId="7A078682"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SOLDE ANNUEL NET</w:t>
      </w:r>
      <w:r w:rsidRPr="00677FC1">
        <w:rPr>
          <w:rFonts w:ascii="Segoe UI" w:eastAsia="Times New Roman" w:hAnsi="Segoe UI" w:cs="Segoe UI"/>
          <w:color w:val="0F1115"/>
          <w:kern w:val="0"/>
          <w:lang w:eastAsia="fr-FR"/>
          <w14:ligatures w14:val="none"/>
        </w:rPr>
        <w:t> | | </w:t>
      </w:r>
      <w:r w:rsidRPr="00677FC1">
        <w:rPr>
          <w:rFonts w:ascii="Segoe UI" w:eastAsia="Times New Roman" w:hAnsi="Segoe UI" w:cs="Segoe UI"/>
          <w:b/>
          <w:bCs/>
          <w:color w:val="0F1115"/>
          <w:kern w:val="0"/>
          <w:lang w:eastAsia="fr-FR"/>
          <w14:ligatures w14:val="none"/>
        </w:rPr>
        <w:t>0</w:t>
      </w:r>
      <w:r w:rsidRPr="00677FC1">
        <w:rPr>
          <w:rFonts w:ascii="Segoe UI" w:eastAsia="Times New Roman" w:hAnsi="Segoe UI" w:cs="Segoe UI"/>
          <w:color w:val="0F1115"/>
          <w:kern w:val="0"/>
          <w:lang w:eastAsia="fr-FR"/>
          <w14:ligatures w14:val="none"/>
        </w:rPr>
        <w:t> (équilibre apparent)</w:t>
      </w:r>
    </w:p>
    <w:p w14:paraId="0DC01BB8"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Effet sur le déficit</w:t>
      </w:r>
      <w:r w:rsidRPr="00677FC1">
        <w:rPr>
          <w:rFonts w:ascii="Segoe UI" w:eastAsia="Times New Roman" w:hAnsi="Segoe UI" w:cs="Segoe UI"/>
          <w:color w:val="0F1115"/>
          <w:kern w:val="0"/>
          <w:lang w:eastAsia="fr-FR"/>
          <w14:ligatures w14:val="none"/>
        </w:rPr>
        <w:t> : Stabilisation du déficit à ~5% PIB, mais réduction de la charge d'intérêts à long terme par les économies structurelles.</w:t>
      </w:r>
    </w:p>
    <w:p w14:paraId="1DF42A4D"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Dette</w:t>
      </w:r>
      <w:r w:rsidRPr="00677FC1">
        <w:rPr>
          <w:rFonts w:ascii="Segoe UI" w:eastAsia="Times New Roman" w:hAnsi="Segoe UI" w:cs="Segoe UI"/>
          <w:color w:val="0F1115"/>
          <w:kern w:val="0"/>
          <w:lang w:eastAsia="fr-FR"/>
          <w14:ligatures w14:val="none"/>
        </w:rPr>
        <w:t> : Stabilisation à ~118% PIB avant réduction à partir de 2030 (effet du rendement des investissements).</w:t>
      </w:r>
    </w:p>
    <w:p w14:paraId="3B079840"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principal</w:t>
      </w:r>
      <w:r w:rsidRPr="00677FC1">
        <w:rPr>
          <w:rFonts w:ascii="Segoe UI" w:eastAsia="Times New Roman" w:hAnsi="Segoe UI" w:cs="Segoe UI"/>
          <w:color w:val="0F1115"/>
          <w:kern w:val="0"/>
          <w:lang w:eastAsia="fr-FR"/>
          <w14:ligatures w14:val="none"/>
        </w:rPr>
        <w:t> : Dépend de la crédibilité des réformes. Si les économies ne sont pas réalisées, le déficit se creuse.</w:t>
      </w:r>
    </w:p>
    <w:p w14:paraId="2D68A5A5" w14:textId="77777777" w:rsidR="00677FC1" w:rsidRPr="00677FC1" w:rsidRDefault="00677FC1" w:rsidP="00677FC1">
      <w:pPr>
        <w:spacing w:before="480" w:after="480" w:line="240" w:lineRule="auto"/>
        <w:rPr>
          <w:rFonts w:ascii="Segoe UI" w:eastAsia="Times New Roman" w:hAnsi="Segoe UI" w:cs="Segoe UI"/>
          <w:kern w:val="0"/>
          <w:lang w:eastAsia="fr-FR"/>
          <w14:ligatures w14:val="none"/>
        </w:rPr>
      </w:pPr>
      <w:r w:rsidRPr="00677FC1">
        <w:rPr>
          <w:rFonts w:ascii="Times New Roman" w:eastAsia="Times New Roman" w:hAnsi="Times New Roman" w:cs="Times New Roman"/>
          <w:kern w:val="0"/>
          <w:lang w:eastAsia="fr-FR"/>
          <w14:ligatures w14:val="none"/>
        </w:rPr>
        <w:pict w14:anchorId="16693BF6">
          <v:rect id="_x0000_i1038" style="width:0;height:.75pt" o:hralign="center" o:hrstd="t" o:hr="t" fillcolor="#a0a0a0" stroked="f"/>
        </w:pict>
      </w:r>
    </w:p>
    <w:p w14:paraId="22A76EFA"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Scénario DISRUPTIF (2027-2030)</w:t>
      </w:r>
    </w:p>
    <w:tbl>
      <w:tblPr>
        <w:tblW w:w="11280" w:type="dxa"/>
        <w:tblCellMar>
          <w:top w:w="15" w:type="dxa"/>
          <w:left w:w="15" w:type="dxa"/>
          <w:bottom w:w="15" w:type="dxa"/>
          <w:right w:w="15" w:type="dxa"/>
        </w:tblCellMar>
        <w:tblLook w:val="04A0" w:firstRow="1" w:lastRow="0" w:firstColumn="1" w:lastColumn="0" w:noHBand="0" w:noVBand="1"/>
      </w:tblPr>
      <w:tblGrid>
        <w:gridCol w:w="5239"/>
        <w:gridCol w:w="3285"/>
        <w:gridCol w:w="2756"/>
      </w:tblGrid>
      <w:tr w:rsidR="00677FC1" w:rsidRPr="00677FC1" w14:paraId="05AF5D9B" w14:textId="77777777">
        <w:trPr>
          <w:tblHeader/>
        </w:trPr>
        <w:tc>
          <w:tcPr>
            <w:tcW w:w="0" w:type="auto"/>
            <w:tcBorders>
              <w:top w:val="nil"/>
            </w:tcBorders>
            <w:tcMar>
              <w:top w:w="150" w:type="dxa"/>
              <w:left w:w="0" w:type="dxa"/>
              <w:bottom w:w="150" w:type="dxa"/>
              <w:right w:w="240" w:type="dxa"/>
            </w:tcMar>
            <w:vAlign w:val="center"/>
            <w:hideMark/>
          </w:tcPr>
          <w:p w14:paraId="0C5943F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lastRenderedPageBreak/>
              <w:t>Poste</w:t>
            </w:r>
          </w:p>
        </w:tc>
        <w:tc>
          <w:tcPr>
            <w:tcW w:w="0" w:type="auto"/>
            <w:tcBorders>
              <w:top w:val="nil"/>
            </w:tcBorders>
            <w:tcMar>
              <w:top w:w="150" w:type="dxa"/>
              <w:left w:w="240" w:type="dxa"/>
              <w:bottom w:w="150" w:type="dxa"/>
              <w:right w:w="240" w:type="dxa"/>
            </w:tcMar>
            <w:vAlign w:val="center"/>
            <w:hideMark/>
          </w:tcPr>
          <w:p w14:paraId="579117B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Dépenses/Économies</w:t>
            </w:r>
          </w:p>
        </w:tc>
        <w:tc>
          <w:tcPr>
            <w:tcW w:w="0" w:type="auto"/>
            <w:tcBorders>
              <w:top w:val="nil"/>
            </w:tcBorders>
            <w:tcMar>
              <w:top w:w="150" w:type="dxa"/>
              <w:left w:w="240" w:type="dxa"/>
              <w:bottom w:w="150" w:type="dxa"/>
              <w:right w:w="240" w:type="dxa"/>
            </w:tcMar>
            <w:vAlign w:val="center"/>
            <w:hideMark/>
          </w:tcPr>
          <w:p w14:paraId="7447E88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Montant Md€/an</w:t>
            </w:r>
          </w:p>
        </w:tc>
      </w:tr>
      <w:tr w:rsidR="00677FC1" w:rsidRPr="00677FC1" w14:paraId="415CCF0A" w14:textId="77777777">
        <w:tc>
          <w:tcPr>
            <w:tcW w:w="0" w:type="auto"/>
            <w:tcMar>
              <w:top w:w="150" w:type="dxa"/>
              <w:left w:w="0" w:type="dxa"/>
              <w:bottom w:w="150" w:type="dxa"/>
              <w:right w:w="240" w:type="dxa"/>
            </w:tcMar>
            <w:vAlign w:val="center"/>
            <w:hideMark/>
          </w:tcPr>
          <w:p w14:paraId="33A6B46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Maîtrise de la dépense</w:t>
            </w:r>
          </w:p>
        </w:tc>
        <w:tc>
          <w:tcPr>
            <w:tcW w:w="0" w:type="auto"/>
            <w:tcMar>
              <w:top w:w="150" w:type="dxa"/>
              <w:left w:w="240" w:type="dxa"/>
              <w:bottom w:w="150" w:type="dxa"/>
              <w:right w:w="240" w:type="dxa"/>
            </w:tcMar>
            <w:vAlign w:val="center"/>
            <w:hideMark/>
          </w:tcPr>
          <w:p w14:paraId="1D6312D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Économies</w:t>
            </w:r>
          </w:p>
        </w:tc>
        <w:tc>
          <w:tcPr>
            <w:tcW w:w="0" w:type="auto"/>
            <w:tcMar>
              <w:top w:w="150" w:type="dxa"/>
              <w:left w:w="240" w:type="dxa"/>
              <w:bottom w:w="150" w:type="dxa"/>
              <w:right w:w="0" w:type="dxa"/>
            </w:tcMar>
            <w:vAlign w:val="center"/>
            <w:hideMark/>
          </w:tcPr>
          <w:p w14:paraId="7CD6393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-40</w:t>
            </w:r>
          </w:p>
        </w:tc>
      </w:tr>
      <w:tr w:rsidR="00677FC1" w:rsidRPr="00677FC1" w14:paraId="3C8F955B" w14:textId="77777777">
        <w:tc>
          <w:tcPr>
            <w:tcW w:w="0" w:type="auto"/>
            <w:tcMar>
              <w:top w:w="150" w:type="dxa"/>
              <w:left w:w="0" w:type="dxa"/>
              <w:bottom w:w="150" w:type="dxa"/>
              <w:right w:w="240" w:type="dxa"/>
            </w:tcMar>
            <w:vAlign w:val="center"/>
            <w:hideMark/>
          </w:tcPr>
          <w:p w14:paraId="207F7BF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Réforme retraite</w:t>
            </w:r>
          </w:p>
        </w:tc>
        <w:tc>
          <w:tcPr>
            <w:tcW w:w="0" w:type="auto"/>
            <w:tcMar>
              <w:top w:w="150" w:type="dxa"/>
              <w:left w:w="240" w:type="dxa"/>
              <w:bottom w:w="150" w:type="dxa"/>
              <w:right w:w="240" w:type="dxa"/>
            </w:tcMar>
            <w:vAlign w:val="center"/>
            <w:hideMark/>
          </w:tcPr>
          <w:p w14:paraId="55C46C1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Économies</w:t>
            </w:r>
          </w:p>
        </w:tc>
        <w:tc>
          <w:tcPr>
            <w:tcW w:w="0" w:type="auto"/>
            <w:tcMar>
              <w:top w:w="150" w:type="dxa"/>
              <w:left w:w="240" w:type="dxa"/>
              <w:bottom w:w="150" w:type="dxa"/>
              <w:right w:w="0" w:type="dxa"/>
            </w:tcMar>
            <w:vAlign w:val="center"/>
            <w:hideMark/>
          </w:tcPr>
          <w:p w14:paraId="6B732CE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w:t>
            </w:r>
          </w:p>
        </w:tc>
      </w:tr>
      <w:tr w:rsidR="00677FC1" w:rsidRPr="00677FC1" w14:paraId="7CC76F3F" w14:textId="77777777">
        <w:tc>
          <w:tcPr>
            <w:tcW w:w="0" w:type="auto"/>
            <w:tcMar>
              <w:top w:w="150" w:type="dxa"/>
              <w:left w:w="0" w:type="dxa"/>
              <w:bottom w:w="150" w:type="dxa"/>
              <w:right w:w="240" w:type="dxa"/>
            </w:tcMar>
            <w:vAlign w:val="center"/>
            <w:hideMark/>
          </w:tcPr>
          <w:p w14:paraId="6B61974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Révision niches</w:t>
            </w:r>
          </w:p>
        </w:tc>
        <w:tc>
          <w:tcPr>
            <w:tcW w:w="0" w:type="auto"/>
            <w:tcMar>
              <w:top w:w="150" w:type="dxa"/>
              <w:left w:w="240" w:type="dxa"/>
              <w:bottom w:w="150" w:type="dxa"/>
              <w:right w:w="240" w:type="dxa"/>
            </w:tcMar>
            <w:vAlign w:val="center"/>
            <w:hideMark/>
          </w:tcPr>
          <w:p w14:paraId="19F65D9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Recettes</w:t>
            </w:r>
          </w:p>
        </w:tc>
        <w:tc>
          <w:tcPr>
            <w:tcW w:w="0" w:type="auto"/>
            <w:tcMar>
              <w:top w:w="150" w:type="dxa"/>
              <w:left w:w="240" w:type="dxa"/>
              <w:bottom w:w="150" w:type="dxa"/>
              <w:right w:w="0" w:type="dxa"/>
            </w:tcMar>
            <w:vAlign w:val="center"/>
            <w:hideMark/>
          </w:tcPr>
          <w:p w14:paraId="1B71EE1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-35</w:t>
            </w:r>
          </w:p>
        </w:tc>
      </w:tr>
      <w:tr w:rsidR="00677FC1" w:rsidRPr="00677FC1" w14:paraId="328F13EF" w14:textId="77777777">
        <w:tc>
          <w:tcPr>
            <w:tcW w:w="0" w:type="auto"/>
            <w:tcMar>
              <w:top w:w="150" w:type="dxa"/>
              <w:left w:w="0" w:type="dxa"/>
              <w:bottom w:w="150" w:type="dxa"/>
              <w:right w:w="240" w:type="dxa"/>
            </w:tcMar>
            <w:vAlign w:val="center"/>
            <w:hideMark/>
          </w:tcPr>
          <w:p w14:paraId="0A03B90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SOUS-TOTAL ÉCONOMIES/RECETTES</w:t>
            </w:r>
          </w:p>
        </w:tc>
        <w:tc>
          <w:tcPr>
            <w:tcW w:w="0" w:type="auto"/>
            <w:tcMar>
              <w:top w:w="150" w:type="dxa"/>
              <w:left w:w="240" w:type="dxa"/>
              <w:bottom w:w="150" w:type="dxa"/>
              <w:right w:w="240" w:type="dxa"/>
            </w:tcMar>
            <w:vAlign w:val="center"/>
            <w:hideMark/>
          </w:tcPr>
          <w:p w14:paraId="4BDD0B3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p>
        </w:tc>
        <w:tc>
          <w:tcPr>
            <w:tcW w:w="0" w:type="auto"/>
            <w:tcMar>
              <w:top w:w="150" w:type="dxa"/>
              <w:left w:w="240" w:type="dxa"/>
              <w:bottom w:w="150" w:type="dxa"/>
              <w:right w:w="0" w:type="dxa"/>
            </w:tcMar>
            <w:vAlign w:val="center"/>
            <w:hideMark/>
          </w:tcPr>
          <w:p w14:paraId="7A0525F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-95</w:t>
            </w:r>
          </w:p>
        </w:tc>
      </w:tr>
      <w:tr w:rsidR="00677FC1" w:rsidRPr="00677FC1" w14:paraId="29937408" w14:textId="77777777">
        <w:tc>
          <w:tcPr>
            <w:tcW w:w="0" w:type="auto"/>
            <w:tcMar>
              <w:top w:w="150" w:type="dxa"/>
              <w:left w:w="0" w:type="dxa"/>
              <w:bottom w:w="150" w:type="dxa"/>
              <w:right w:w="240" w:type="dxa"/>
            </w:tcMar>
            <w:vAlign w:val="center"/>
            <w:hideMark/>
          </w:tcPr>
          <w:p w14:paraId="35FC742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Défense</w:t>
            </w:r>
          </w:p>
        </w:tc>
        <w:tc>
          <w:tcPr>
            <w:tcW w:w="0" w:type="auto"/>
            <w:tcMar>
              <w:top w:w="150" w:type="dxa"/>
              <w:left w:w="240" w:type="dxa"/>
              <w:bottom w:w="150" w:type="dxa"/>
              <w:right w:w="240" w:type="dxa"/>
            </w:tcMar>
            <w:vAlign w:val="center"/>
            <w:hideMark/>
          </w:tcPr>
          <w:p w14:paraId="31006B63"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7824746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+30</w:t>
            </w:r>
          </w:p>
        </w:tc>
      </w:tr>
      <w:tr w:rsidR="00677FC1" w:rsidRPr="00677FC1" w14:paraId="417B72A6" w14:textId="77777777">
        <w:tc>
          <w:tcPr>
            <w:tcW w:w="0" w:type="auto"/>
            <w:tcMar>
              <w:top w:w="150" w:type="dxa"/>
              <w:left w:w="0" w:type="dxa"/>
              <w:bottom w:w="150" w:type="dxa"/>
              <w:right w:w="240" w:type="dxa"/>
            </w:tcMar>
            <w:vAlign w:val="center"/>
            <w:hideMark/>
          </w:tcPr>
          <w:p w14:paraId="18D7291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Énergie</w:t>
            </w:r>
          </w:p>
        </w:tc>
        <w:tc>
          <w:tcPr>
            <w:tcW w:w="0" w:type="auto"/>
            <w:tcMar>
              <w:top w:w="150" w:type="dxa"/>
              <w:left w:w="240" w:type="dxa"/>
              <w:bottom w:w="150" w:type="dxa"/>
              <w:right w:w="240" w:type="dxa"/>
            </w:tcMar>
            <w:vAlign w:val="center"/>
            <w:hideMark/>
          </w:tcPr>
          <w:p w14:paraId="1150AE4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5F39A4F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+30</w:t>
            </w:r>
          </w:p>
        </w:tc>
      </w:tr>
      <w:tr w:rsidR="00677FC1" w:rsidRPr="00677FC1" w14:paraId="59E337EA" w14:textId="77777777">
        <w:tc>
          <w:tcPr>
            <w:tcW w:w="0" w:type="auto"/>
            <w:tcMar>
              <w:top w:w="150" w:type="dxa"/>
              <w:left w:w="0" w:type="dxa"/>
              <w:bottom w:w="150" w:type="dxa"/>
              <w:right w:w="240" w:type="dxa"/>
            </w:tcMar>
            <w:vAlign w:val="center"/>
            <w:hideMark/>
          </w:tcPr>
          <w:p w14:paraId="37EA23F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Numérisation</w:t>
            </w:r>
          </w:p>
        </w:tc>
        <w:tc>
          <w:tcPr>
            <w:tcW w:w="0" w:type="auto"/>
            <w:tcMar>
              <w:top w:w="150" w:type="dxa"/>
              <w:left w:w="240" w:type="dxa"/>
              <w:bottom w:w="150" w:type="dxa"/>
              <w:right w:w="240" w:type="dxa"/>
            </w:tcMar>
            <w:vAlign w:val="center"/>
            <w:hideMark/>
          </w:tcPr>
          <w:p w14:paraId="2C73B16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 net</w:t>
            </w:r>
          </w:p>
        </w:tc>
        <w:tc>
          <w:tcPr>
            <w:tcW w:w="0" w:type="auto"/>
            <w:tcMar>
              <w:top w:w="150" w:type="dxa"/>
              <w:left w:w="240" w:type="dxa"/>
              <w:bottom w:w="150" w:type="dxa"/>
              <w:right w:w="0" w:type="dxa"/>
            </w:tcMar>
            <w:vAlign w:val="center"/>
            <w:hideMark/>
          </w:tcPr>
          <w:p w14:paraId="6D686B2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-10</w:t>
            </w:r>
          </w:p>
        </w:tc>
      </w:tr>
      <w:tr w:rsidR="00677FC1" w:rsidRPr="00677FC1" w14:paraId="1AAD35AC" w14:textId="77777777">
        <w:tc>
          <w:tcPr>
            <w:tcW w:w="0" w:type="auto"/>
            <w:tcMar>
              <w:top w:w="150" w:type="dxa"/>
              <w:left w:w="0" w:type="dxa"/>
              <w:bottom w:w="150" w:type="dxa"/>
              <w:right w:w="240" w:type="dxa"/>
            </w:tcMar>
            <w:vAlign w:val="center"/>
            <w:hideMark/>
          </w:tcPr>
          <w:p w14:paraId="7CE5052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Petite enfance</w:t>
            </w:r>
          </w:p>
        </w:tc>
        <w:tc>
          <w:tcPr>
            <w:tcW w:w="0" w:type="auto"/>
            <w:tcMar>
              <w:top w:w="150" w:type="dxa"/>
              <w:left w:w="240" w:type="dxa"/>
              <w:bottom w:w="150" w:type="dxa"/>
              <w:right w:w="240" w:type="dxa"/>
            </w:tcMar>
            <w:vAlign w:val="center"/>
            <w:hideMark/>
          </w:tcPr>
          <w:p w14:paraId="7904117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2C1E1F8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+25</w:t>
            </w:r>
          </w:p>
        </w:tc>
      </w:tr>
      <w:tr w:rsidR="00677FC1" w:rsidRPr="00677FC1" w14:paraId="7F5E476F" w14:textId="77777777">
        <w:tc>
          <w:tcPr>
            <w:tcW w:w="0" w:type="auto"/>
            <w:tcMar>
              <w:top w:w="150" w:type="dxa"/>
              <w:left w:w="0" w:type="dxa"/>
              <w:bottom w:w="150" w:type="dxa"/>
              <w:right w:w="240" w:type="dxa"/>
            </w:tcMar>
            <w:vAlign w:val="center"/>
            <w:hideMark/>
          </w:tcPr>
          <w:p w14:paraId="01F0CBF9"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Éducation</w:t>
            </w:r>
          </w:p>
        </w:tc>
        <w:tc>
          <w:tcPr>
            <w:tcW w:w="0" w:type="auto"/>
            <w:tcMar>
              <w:top w:w="150" w:type="dxa"/>
              <w:left w:w="240" w:type="dxa"/>
              <w:bottom w:w="150" w:type="dxa"/>
              <w:right w:w="240" w:type="dxa"/>
            </w:tcMar>
            <w:vAlign w:val="center"/>
            <w:hideMark/>
          </w:tcPr>
          <w:p w14:paraId="0DCDC3A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29D8DB3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+15</w:t>
            </w:r>
          </w:p>
        </w:tc>
      </w:tr>
      <w:tr w:rsidR="00677FC1" w:rsidRPr="00677FC1" w14:paraId="1D70734E" w14:textId="77777777">
        <w:tc>
          <w:tcPr>
            <w:tcW w:w="0" w:type="auto"/>
            <w:tcMar>
              <w:top w:w="150" w:type="dxa"/>
              <w:left w:w="0" w:type="dxa"/>
              <w:bottom w:w="150" w:type="dxa"/>
              <w:right w:w="240" w:type="dxa"/>
            </w:tcMar>
            <w:vAlign w:val="center"/>
            <w:hideMark/>
          </w:tcPr>
          <w:p w14:paraId="5EE75C9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Coûts de transition</w:t>
            </w:r>
          </w:p>
        </w:tc>
        <w:tc>
          <w:tcPr>
            <w:tcW w:w="0" w:type="auto"/>
            <w:tcMar>
              <w:top w:w="150" w:type="dxa"/>
              <w:left w:w="240" w:type="dxa"/>
              <w:bottom w:w="150" w:type="dxa"/>
              <w:right w:w="240" w:type="dxa"/>
            </w:tcMar>
            <w:vAlign w:val="center"/>
            <w:hideMark/>
          </w:tcPr>
          <w:p w14:paraId="6CD8030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Investissement</w:t>
            </w:r>
          </w:p>
        </w:tc>
        <w:tc>
          <w:tcPr>
            <w:tcW w:w="0" w:type="auto"/>
            <w:tcMar>
              <w:top w:w="150" w:type="dxa"/>
              <w:left w:w="240" w:type="dxa"/>
              <w:bottom w:w="150" w:type="dxa"/>
              <w:right w:w="0" w:type="dxa"/>
            </w:tcMar>
            <w:vAlign w:val="center"/>
            <w:hideMark/>
          </w:tcPr>
          <w:p w14:paraId="35F89B7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+15</w:t>
            </w:r>
          </w:p>
        </w:tc>
      </w:tr>
      <w:tr w:rsidR="00677FC1" w:rsidRPr="00677FC1" w14:paraId="2779C9E3" w14:textId="77777777">
        <w:tc>
          <w:tcPr>
            <w:tcW w:w="0" w:type="auto"/>
            <w:tcMar>
              <w:top w:w="150" w:type="dxa"/>
              <w:left w:w="0" w:type="dxa"/>
              <w:bottom w:w="150" w:type="dxa"/>
              <w:right w:w="240" w:type="dxa"/>
            </w:tcMar>
            <w:vAlign w:val="center"/>
            <w:hideMark/>
          </w:tcPr>
          <w:p w14:paraId="7E0439B8"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SOUS-TOTAL DÉPENSES NOUVELLES</w:t>
            </w:r>
          </w:p>
        </w:tc>
        <w:tc>
          <w:tcPr>
            <w:tcW w:w="0" w:type="auto"/>
            <w:tcMar>
              <w:top w:w="150" w:type="dxa"/>
              <w:left w:w="240" w:type="dxa"/>
              <w:bottom w:w="150" w:type="dxa"/>
              <w:right w:w="240" w:type="dxa"/>
            </w:tcMar>
            <w:vAlign w:val="center"/>
            <w:hideMark/>
          </w:tcPr>
          <w:p w14:paraId="0327458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p>
        </w:tc>
        <w:tc>
          <w:tcPr>
            <w:tcW w:w="0" w:type="auto"/>
            <w:tcMar>
              <w:top w:w="150" w:type="dxa"/>
              <w:left w:w="240" w:type="dxa"/>
              <w:bottom w:w="150" w:type="dxa"/>
              <w:right w:w="0" w:type="dxa"/>
            </w:tcMar>
            <w:vAlign w:val="center"/>
            <w:hideMark/>
          </w:tcPr>
          <w:p w14:paraId="14A20A8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+105</w:t>
            </w:r>
          </w:p>
        </w:tc>
      </w:tr>
    </w:tbl>
    <w:p w14:paraId="0642DDD7"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SOLDE ANNUEL NET</w:t>
      </w:r>
      <w:r w:rsidRPr="00677FC1">
        <w:rPr>
          <w:rFonts w:ascii="Segoe UI" w:eastAsia="Times New Roman" w:hAnsi="Segoe UI" w:cs="Segoe UI"/>
          <w:color w:val="0F1115"/>
          <w:kern w:val="0"/>
          <w:lang w:eastAsia="fr-FR"/>
          <w14:ligatures w14:val="none"/>
        </w:rPr>
        <w:t> | | </w:t>
      </w:r>
      <w:r w:rsidRPr="00677FC1">
        <w:rPr>
          <w:rFonts w:ascii="Segoe UI" w:eastAsia="Times New Roman" w:hAnsi="Segoe UI" w:cs="Segoe UI"/>
          <w:b/>
          <w:bCs/>
          <w:color w:val="0F1115"/>
          <w:kern w:val="0"/>
          <w:lang w:eastAsia="fr-FR"/>
          <w14:ligatures w14:val="none"/>
        </w:rPr>
        <w:t>+10</w:t>
      </w:r>
      <w:r w:rsidRPr="00677FC1">
        <w:rPr>
          <w:rFonts w:ascii="Segoe UI" w:eastAsia="Times New Roman" w:hAnsi="Segoe UI" w:cs="Segoe UI"/>
          <w:color w:val="0F1115"/>
          <w:kern w:val="0"/>
          <w:lang w:eastAsia="fr-FR"/>
          <w14:ligatures w14:val="none"/>
        </w:rPr>
        <w:t> (excédent apparent)</w:t>
      </w:r>
    </w:p>
    <w:p w14:paraId="4E452273"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ALERTE</w:t>
      </w:r>
      <w:r w:rsidRPr="00677FC1">
        <w:rPr>
          <w:rFonts w:ascii="Segoe UI" w:eastAsia="Times New Roman" w:hAnsi="Segoe UI" w:cs="Segoe UI"/>
          <w:color w:val="0F1115"/>
          <w:kern w:val="0"/>
          <w:lang w:eastAsia="fr-FR"/>
          <w14:ligatures w14:val="none"/>
        </w:rPr>
        <w:t> : Ce solde est </w:t>
      </w:r>
      <w:r w:rsidRPr="00677FC1">
        <w:rPr>
          <w:rFonts w:ascii="Segoe UI" w:eastAsia="Times New Roman" w:hAnsi="Segoe UI" w:cs="Segoe UI"/>
          <w:b/>
          <w:bCs/>
          <w:color w:val="0F1115"/>
          <w:kern w:val="0"/>
          <w:lang w:eastAsia="fr-FR"/>
          <w14:ligatures w14:val="none"/>
        </w:rPr>
        <w:t>fictif</w:t>
      </w:r>
      <w:r w:rsidRPr="00677FC1">
        <w:rPr>
          <w:rFonts w:ascii="Segoe UI" w:eastAsia="Times New Roman" w:hAnsi="Segoe UI" w:cs="Segoe UI"/>
          <w:color w:val="0F1115"/>
          <w:kern w:val="0"/>
          <w:lang w:eastAsia="fr-FR"/>
          <w14:ligatures w14:val="none"/>
        </w:rPr>
        <w:t> en l'absence de validation des hypothèses comportementales. Les "économies" de 40 Md€ sur la dépense publique supposent une réduction des effectifs massifs (25%) qui n'a jamais été réalisée sans perte de service. Les recettes de 35 Md€ sur les niches fiscales supposent une élasticité nulle des comportements fiscaux — hypothèse irréaliste.</w:t>
      </w:r>
    </w:p>
    <w:p w14:paraId="4D476919"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Effet sur le déficit</w:t>
      </w:r>
      <w:r w:rsidRPr="00677FC1">
        <w:rPr>
          <w:rFonts w:ascii="Segoe UI" w:eastAsia="Times New Roman" w:hAnsi="Segoe UI" w:cs="Segoe UI"/>
          <w:color w:val="0F1115"/>
          <w:kern w:val="0"/>
          <w:lang w:eastAsia="fr-FR"/>
          <w14:ligatures w14:val="none"/>
        </w:rPr>
        <w:t> : En réalité, risque de </w:t>
      </w:r>
      <w:r w:rsidRPr="00677FC1">
        <w:rPr>
          <w:rFonts w:ascii="Segoe UI" w:eastAsia="Times New Roman" w:hAnsi="Segoe UI" w:cs="Segoe UI"/>
          <w:b/>
          <w:bCs/>
          <w:color w:val="0F1115"/>
          <w:kern w:val="0"/>
          <w:lang w:eastAsia="fr-FR"/>
          <w14:ligatures w14:val="none"/>
        </w:rPr>
        <w:t>creusement</w:t>
      </w:r>
      <w:r w:rsidRPr="00677FC1">
        <w:rPr>
          <w:rFonts w:ascii="Segoe UI" w:eastAsia="Times New Roman" w:hAnsi="Segoe UI" w:cs="Segoe UI"/>
          <w:color w:val="0F1115"/>
          <w:kern w:val="0"/>
          <w:lang w:eastAsia="fr-FR"/>
          <w14:ligatures w14:val="none"/>
        </w:rPr>
        <w:t> du déficit à court terme (coûts de transition, résistance sociale, baisse de l'activité). Scénario d'"incendie de forêt" — potentiel gain à long terme, mais risque de déflagration à court terme.</w:t>
      </w:r>
    </w:p>
    <w:p w14:paraId="4797BD52"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Dette</w:t>
      </w:r>
      <w:r w:rsidRPr="00677FC1">
        <w:rPr>
          <w:rFonts w:ascii="Segoe UI" w:eastAsia="Times New Roman" w:hAnsi="Segoe UI" w:cs="Segoe UI"/>
          <w:color w:val="0F1115"/>
          <w:kern w:val="0"/>
          <w:lang w:eastAsia="fr-FR"/>
          <w14:ligatures w14:val="none"/>
        </w:rPr>
        <w:t> : Dégradation temporaire (hausse à 125% PIB) avant réduction potentielle à partir de 2035.</w:t>
      </w:r>
    </w:p>
    <w:p w14:paraId="2346D971"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44BBBAB3">
          <v:rect id="_x0000_i1043" alt="" style="width:453.6pt;height:.05pt;mso-width-percent:0;mso-height-percent:0;mso-width-percent:0;mso-height-percent:0" o:hralign="center" o:hrstd="t" o:hr="t" fillcolor="#a0a0a0" stroked="f"/>
        </w:pict>
      </w:r>
    </w:p>
    <w:p w14:paraId="7010980B" w14:textId="77777777" w:rsidR="00677FC1" w:rsidRPr="00677FC1" w:rsidRDefault="00677FC1" w:rsidP="00677FC1">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677FC1">
        <w:rPr>
          <w:rFonts w:ascii="Segoe UI" w:eastAsia="Times New Roman" w:hAnsi="Segoe UI" w:cs="Segoe UI"/>
          <w:b/>
          <w:bCs/>
          <w:color w:val="0F1115"/>
          <w:kern w:val="0"/>
          <w:sz w:val="33"/>
          <w:szCs w:val="33"/>
          <w:lang w:eastAsia="fr-FR"/>
          <w14:ligatures w14:val="none"/>
        </w:rPr>
        <w:lastRenderedPageBreak/>
        <w:t>ÉTAPE 5 — Réversibilité, risques, séquencement</w:t>
      </w:r>
    </w:p>
    <w:p w14:paraId="47A5CF96"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Scénario PRUDENT</w:t>
      </w:r>
    </w:p>
    <w:p w14:paraId="3F19956B"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Séquencement optimal</w:t>
      </w:r>
      <w:r w:rsidRPr="00677FC1">
        <w:rPr>
          <w:rFonts w:ascii="Segoe UI" w:eastAsia="Times New Roman" w:hAnsi="Segoe UI" w:cs="Segoe UI"/>
          <w:color w:val="0F1115"/>
          <w:kern w:val="0"/>
          <w:lang w:eastAsia="fr-FR"/>
          <w14:ligatures w14:val="none"/>
        </w:rPr>
        <w:t> :</w:t>
      </w:r>
    </w:p>
    <w:p w14:paraId="5386013D" w14:textId="77777777" w:rsidR="00677FC1" w:rsidRPr="00677FC1" w:rsidRDefault="00677FC1" w:rsidP="00677FC1">
      <w:pPr>
        <w:numPr>
          <w:ilvl w:val="0"/>
          <w:numId w:val="2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2026 : Réforme des niches fiscales (rapide, faible résistance)</w:t>
      </w:r>
    </w:p>
    <w:p w14:paraId="56EA530E" w14:textId="77777777" w:rsidR="00677FC1" w:rsidRPr="00677FC1" w:rsidRDefault="00677FC1" w:rsidP="00677FC1">
      <w:pPr>
        <w:numPr>
          <w:ilvl w:val="0"/>
          <w:numId w:val="2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2026-2027 : Gel des dépenses de fonctionnement</w:t>
      </w:r>
    </w:p>
    <w:p w14:paraId="76812E61" w14:textId="77777777" w:rsidR="00677FC1" w:rsidRPr="00677FC1" w:rsidRDefault="00677FC1" w:rsidP="00677FC1">
      <w:pPr>
        <w:numPr>
          <w:ilvl w:val="0"/>
          <w:numId w:val="2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2027-2028 : Réforme des retraites (pilotée, avec mesures d'accompagnement)</w:t>
      </w:r>
    </w:p>
    <w:p w14:paraId="54DD2776" w14:textId="77777777" w:rsidR="00677FC1" w:rsidRPr="00677FC1" w:rsidRDefault="00677FC1" w:rsidP="00677FC1">
      <w:pPr>
        <w:numPr>
          <w:ilvl w:val="0"/>
          <w:numId w:val="26"/>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2028-2030 : Investissements défense/énergie/éducation (déployés progressivement)</w:t>
      </w:r>
    </w:p>
    <w:p w14:paraId="433FCD2F"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Risques</w:t>
      </w:r>
      <w:r w:rsidRPr="00677FC1">
        <w:rPr>
          <w:rFonts w:ascii="Segoe UI" w:eastAsia="Times New Roman" w:hAnsi="Segoe UI" w:cs="Segoe UI"/>
          <w:color w:val="0F1115"/>
          <w:kern w:val="0"/>
          <w:lang w:eastAsia="fr-FR"/>
          <w14:ligatures w14:val="none"/>
        </w:rPr>
        <w:t> : Non-atteinte des objectifs d'économies ; résistance des ministères aux gels de crédits.</w:t>
      </w:r>
    </w:p>
    <w:p w14:paraId="01AF4C76"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Élevée pour la plupart des mesures, sauf la réforme des retraites.</w:t>
      </w:r>
    </w:p>
    <w:p w14:paraId="3D14E9D0"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4A6A89F9">
          <v:rect id="_x0000_i1042" alt="" style="width:453.6pt;height:.05pt;mso-width-percent:0;mso-height-percent:0;mso-width-percent:0;mso-height-percent:0" o:hralign="center" o:hrstd="t" o:hr="t" fillcolor="#a0a0a0" stroked="f"/>
        </w:pict>
      </w:r>
    </w:p>
    <w:p w14:paraId="665AAB14"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Scénario AMBITIEUX</w:t>
      </w:r>
    </w:p>
    <w:p w14:paraId="3F61F8EE"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Séquencement optimal</w:t>
      </w:r>
      <w:r w:rsidRPr="00677FC1">
        <w:rPr>
          <w:rFonts w:ascii="Segoe UI" w:eastAsia="Times New Roman" w:hAnsi="Segoe UI" w:cs="Segoe UI"/>
          <w:color w:val="0F1115"/>
          <w:kern w:val="0"/>
          <w:lang w:eastAsia="fr-FR"/>
          <w14:ligatures w14:val="none"/>
        </w:rPr>
        <w:t> :</w:t>
      </w:r>
    </w:p>
    <w:p w14:paraId="2C97940F" w14:textId="77777777" w:rsidR="00677FC1" w:rsidRPr="00677FC1" w:rsidRDefault="00677FC1" w:rsidP="00677FC1">
      <w:pPr>
        <w:numPr>
          <w:ilvl w:val="0"/>
          <w:numId w:val="2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2026 : Plan de maîtrise de la dépense (RGPP 2)</w:t>
      </w:r>
    </w:p>
    <w:p w14:paraId="4E17D5DF" w14:textId="77777777" w:rsidR="00677FC1" w:rsidRPr="00677FC1" w:rsidRDefault="00677FC1" w:rsidP="00677FC1">
      <w:pPr>
        <w:numPr>
          <w:ilvl w:val="0"/>
          <w:numId w:val="2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2026-2027 : Révision des niches fiscales</w:t>
      </w:r>
    </w:p>
    <w:p w14:paraId="03749E5D" w14:textId="77777777" w:rsidR="00677FC1" w:rsidRPr="00677FC1" w:rsidRDefault="00677FC1" w:rsidP="00677FC1">
      <w:pPr>
        <w:numPr>
          <w:ilvl w:val="0"/>
          <w:numId w:val="2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2027-2028 : Réforme des retraites (65 ans) avec large concertation</w:t>
      </w:r>
    </w:p>
    <w:p w14:paraId="2BEBFACD" w14:textId="77777777" w:rsidR="00677FC1" w:rsidRPr="00677FC1" w:rsidRDefault="00677FC1" w:rsidP="00677FC1">
      <w:pPr>
        <w:numPr>
          <w:ilvl w:val="0"/>
          <w:numId w:val="2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2027-2029 : Investissements massifs (défense, énergie)</w:t>
      </w:r>
    </w:p>
    <w:p w14:paraId="170159F9" w14:textId="77777777" w:rsidR="00677FC1" w:rsidRPr="00677FC1" w:rsidRDefault="00677FC1" w:rsidP="00677FC1">
      <w:pPr>
        <w:numPr>
          <w:ilvl w:val="0"/>
          <w:numId w:val="27"/>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2028-2030 : Éducation/petite enfance</w:t>
      </w:r>
    </w:p>
    <w:p w14:paraId="29E57495"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Risques</w:t>
      </w:r>
      <w:r w:rsidRPr="00677FC1">
        <w:rPr>
          <w:rFonts w:ascii="Segoe UI" w:eastAsia="Times New Roman" w:hAnsi="Segoe UI" w:cs="Segoe UI"/>
          <w:color w:val="0F1115"/>
          <w:kern w:val="0"/>
          <w:lang w:eastAsia="fr-FR"/>
          <w14:ligatures w14:val="none"/>
        </w:rPr>
        <w:t> : Mobilisation sociale sur les retraites ; difficulté à maintenir les économies sur la dépense pendant le déploiement des investissements.</w:t>
      </w:r>
    </w:p>
    <w:p w14:paraId="62B64AC6"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Moyenne. L'âge de départ à 65 ans est difficilement réversible.</w:t>
      </w:r>
    </w:p>
    <w:p w14:paraId="065F752F"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59FFADA8">
          <v:rect id="_x0000_i1041" alt="" style="width:453.6pt;height:.05pt;mso-width-percent:0;mso-height-percent:0;mso-width-percent:0;mso-height-percent:0" o:hralign="center" o:hrstd="t" o:hr="t" fillcolor="#a0a0a0" stroked="f"/>
        </w:pict>
      </w:r>
    </w:p>
    <w:p w14:paraId="171F4B17"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Scénario DISRUPTIF</w:t>
      </w:r>
    </w:p>
    <w:p w14:paraId="269081FB"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Séquencement</w:t>
      </w:r>
      <w:r w:rsidRPr="00677FC1">
        <w:rPr>
          <w:rFonts w:ascii="Segoe UI" w:eastAsia="Times New Roman" w:hAnsi="Segoe UI" w:cs="Segoe UI"/>
          <w:color w:val="0F1115"/>
          <w:kern w:val="0"/>
          <w:lang w:eastAsia="fr-FR"/>
          <w14:ligatures w14:val="none"/>
        </w:rPr>
        <w:t> :</w:t>
      </w:r>
    </w:p>
    <w:p w14:paraId="10D73EBF" w14:textId="77777777" w:rsidR="00677FC1" w:rsidRPr="00677FC1" w:rsidRDefault="00677FC1" w:rsidP="00677FC1">
      <w:pPr>
        <w:numPr>
          <w:ilvl w:val="0"/>
          <w:numId w:val="2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2026 : Annonce du plan de rupture, création des instruments (taxe carbone, emprunt)</w:t>
      </w:r>
    </w:p>
    <w:p w14:paraId="2C8EE095" w14:textId="77777777" w:rsidR="00677FC1" w:rsidRPr="00677FC1" w:rsidRDefault="00677FC1" w:rsidP="00677FC1">
      <w:pPr>
        <w:numPr>
          <w:ilvl w:val="0"/>
          <w:numId w:val="2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lastRenderedPageBreak/>
        <w:t>2026-2027 : Réformes institutionnelles (fusion régions)</w:t>
      </w:r>
    </w:p>
    <w:p w14:paraId="004A7AA4" w14:textId="77777777" w:rsidR="00677FC1" w:rsidRPr="00677FC1" w:rsidRDefault="00677FC1" w:rsidP="00677FC1">
      <w:pPr>
        <w:numPr>
          <w:ilvl w:val="0"/>
          <w:numId w:val="2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2027-2028 : Réforme fiscale structurelle</w:t>
      </w:r>
    </w:p>
    <w:p w14:paraId="444F9622" w14:textId="77777777" w:rsidR="00677FC1" w:rsidRPr="00677FC1" w:rsidRDefault="00677FC1" w:rsidP="00677FC1">
      <w:pPr>
        <w:numPr>
          <w:ilvl w:val="0"/>
          <w:numId w:val="28"/>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2028-2030 : Déploiement des investissements massifs</w:t>
      </w:r>
    </w:p>
    <w:p w14:paraId="3C3F64CE"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Risques maximaux</w:t>
      </w:r>
      <w:r w:rsidRPr="00677FC1">
        <w:rPr>
          <w:rFonts w:ascii="Segoe UI" w:eastAsia="Times New Roman" w:hAnsi="Segoe UI" w:cs="Segoe UI"/>
          <w:color w:val="0F1115"/>
          <w:kern w:val="0"/>
          <w:lang w:eastAsia="fr-FR"/>
          <w14:ligatures w14:val="none"/>
        </w:rPr>
        <w:t> :</w:t>
      </w:r>
    </w:p>
    <w:p w14:paraId="670AFB84" w14:textId="77777777" w:rsidR="00677FC1" w:rsidRPr="00677FC1" w:rsidRDefault="00677FC1" w:rsidP="00677FC1">
      <w:pPr>
        <w:numPr>
          <w:ilvl w:val="0"/>
          <w:numId w:val="2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politique</w:t>
      </w:r>
      <w:r w:rsidRPr="00677FC1">
        <w:rPr>
          <w:rFonts w:ascii="Segoe UI" w:eastAsia="Times New Roman" w:hAnsi="Segoe UI" w:cs="Segoe UI"/>
          <w:color w:val="0F1115"/>
          <w:kern w:val="0"/>
          <w:lang w:eastAsia="fr-FR"/>
          <w14:ligatures w14:val="none"/>
        </w:rPr>
        <w:t> : Grève générale, chute du gouvernement</w:t>
      </w:r>
    </w:p>
    <w:p w14:paraId="2B5FD823" w14:textId="77777777" w:rsidR="00677FC1" w:rsidRPr="00677FC1" w:rsidRDefault="00677FC1" w:rsidP="00677FC1">
      <w:pPr>
        <w:numPr>
          <w:ilvl w:val="0"/>
          <w:numId w:val="2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économique</w:t>
      </w:r>
      <w:r w:rsidRPr="00677FC1">
        <w:rPr>
          <w:rFonts w:ascii="Segoe UI" w:eastAsia="Times New Roman" w:hAnsi="Segoe UI" w:cs="Segoe UI"/>
          <w:color w:val="0F1115"/>
          <w:kern w:val="0"/>
          <w:lang w:eastAsia="fr-FR"/>
          <w14:ligatures w14:val="none"/>
        </w:rPr>
        <w:t> : Spirale déflationniste (contraction fiscale mal séquencée) ; fuite des capitaux ; dégradation de la note souveraine</w:t>
      </w:r>
    </w:p>
    <w:p w14:paraId="16F380BF" w14:textId="77777777" w:rsidR="00677FC1" w:rsidRPr="00677FC1" w:rsidRDefault="00677FC1" w:rsidP="00677FC1">
      <w:pPr>
        <w:numPr>
          <w:ilvl w:val="0"/>
          <w:numId w:val="29"/>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Risque social</w:t>
      </w:r>
      <w:r w:rsidRPr="00677FC1">
        <w:rPr>
          <w:rFonts w:ascii="Segoe UI" w:eastAsia="Times New Roman" w:hAnsi="Segoe UI" w:cs="Segoe UI"/>
          <w:color w:val="0F1115"/>
          <w:kern w:val="0"/>
          <w:lang w:eastAsia="fr-FR"/>
          <w14:ligatures w14:val="none"/>
        </w:rPr>
        <w:t> : Fracture générationnelle, inégalités territoriales</w:t>
      </w:r>
    </w:p>
    <w:p w14:paraId="169EE48C"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Réversibilité</w:t>
      </w:r>
      <w:r w:rsidRPr="00677FC1">
        <w:rPr>
          <w:rFonts w:ascii="Segoe UI" w:eastAsia="Times New Roman" w:hAnsi="Segoe UI" w:cs="Segoe UI"/>
          <w:color w:val="0F1115"/>
          <w:kern w:val="0"/>
          <w:lang w:eastAsia="fr-FR"/>
          <w14:ligatures w14:val="none"/>
        </w:rPr>
        <w:t> : Très faible, notamment pour les réformes institutionnelles (fusion régions) et la réforme des retraites (67 ans).</w:t>
      </w:r>
    </w:p>
    <w:p w14:paraId="68B29B6F"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Mesures irréversibles identifiées</w:t>
      </w:r>
      <w:r w:rsidRPr="00677FC1">
        <w:rPr>
          <w:rFonts w:ascii="Segoe UI" w:eastAsia="Times New Roman" w:hAnsi="Segoe UI" w:cs="Segoe UI"/>
          <w:color w:val="0F1115"/>
          <w:kern w:val="0"/>
          <w:lang w:eastAsia="fr-FR"/>
          <w14:ligatures w14:val="none"/>
        </w:rPr>
        <w:t> :</w:t>
      </w:r>
    </w:p>
    <w:p w14:paraId="2701E397" w14:textId="77777777" w:rsidR="00677FC1" w:rsidRPr="00677FC1" w:rsidRDefault="00677FC1" w:rsidP="00677FC1">
      <w:pPr>
        <w:numPr>
          <w:ilvl w:val="0"/>
          <w:numId w:val="3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Fusion des régions (retour en arrière institutionnellement complexe)</w:t>
      </w:r>
    </w:p>
    <w:p w14:paraId="0E84F1C6" w14:textId="77777777" w:rsidR="00677FC1" w:rsidRPr="00677FC1" w:rsidRDefault="00677FC1" w:rsidP="00677FC1">
      <w:pPr>
        <w:numPr>
          <w:ilvl w:val="0"/>
          <w:numId w:val="3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Changement de système de retraite (capitalisation)</w:t>
      </w:r>
    </w:p>
    <w:p w14:paraId="1D3BEB36" w14:textId="77777777" w:rsidR="00677FC1" w:rsidRPr="00677FC1" w:rsidRDefault="00677FC1" w:rsidP="00677FC1">
      <w:pPr>
        <w:numPr>
          <w:ilvl w:val="0"/>
          <w:numId w:val="3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Démantèlement des collectivités locales</w:t>
      </w:r>
    </w:p>
    <w:p w14:paraId="1EBB2586" w14:textId="77777777" w:rsidR="00677FC1" w:rsidRPr="00677FC1" w:rsidRDefault="00677FC1" w:rsidP="00677FC1">
      <w:pPr>
        <w:numPr>
          <w:ilvl w:val="0"/>
          <w:numId w:val="30"/>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Ventes d'actifs stratégiques (si utilisées pour financer)</w:t>
      </w:r>
    </w:p>
    <w:p w14:paraId="0C9B5448"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70E2313D">
          <v:rect id="_x0000_i1040" style="width:0;height:.75pt" o:hralign="center" o:hrstd="t" o:hr="t" fillcolor="#a0a0a0" stroked="f"/>
        </w:pict>
      </w:r>
    </w:p>
    <w:p w14:paraId="3DFD1663" w14:textId="77777777" w:rsidR="00677FC1" w:rsidRPr="00677FC1" w:rsidRDefault="00677FC1" w:rsidP="00677FC1">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677FC1">
        <w:rPr>
          <w:rFonts w:ascii="Segoe UI" w:eastAsia="Times New Roman" w:hAnsi="Segoe UI" w:cs="Segoe UI"/>
          <w:b/>
          <w:bCs/>
          <w:color w:val="0F1115"/>
          <w:kern w:val="0"/>
          <w:sz w:val="33"/>
          <w:szCs w:val="33"/>
          <w:lang w:eastAsia="fr-FR"/>
          <w14:ligatures w14:val="none"/>
        </w:rPr>
        <w:t>ÉTAPE 6 — Verdict comparatif et recommandation</w:t>
      </w:r>
    </w:p>
    <w:p w14:paraId="3150B1B4"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Tableau comparatif</w:t>
      </w:r>
    </w:p>
    <w:tbl>
      <w:tblPr>
        <w:tblW w:w="0" w:type="auto"/>
        <w:tblCellMar>
          <w:top w:w="15" w:type="dxa"/>
          <w:left w:w="15" w:type="dxa"/>
          <w:bottom w:w="15" w:type="dxa"/>
          <w:right w:w="15" w:type="dxa"/>
        </w:tblCellMar>
        <w:tblLook w:val="04A0" w:firstRow="1" w:lastRow="0" w:firstColumn="1" w:lastColumn="0" w:noHBand="0" w:noVBand="1"/>
      </w:tblPr>
      <w:tblGrid>
        <w:gridCol w:w="2488"/>
        <w:gridCol w:w="2441"/>
        <w:gridCol w:w="2179"/>
        <w:gridCol w:w="1964"/>
      </w:tblGrid>
      <w:tr w:rsidR="00677FC1" w:rsidRPr="00677FC1" w14:paraId="57C025BD" w14:textId="77777777">
        <w:trPr>
          <w:tblHeader/>
        </w:trPr>
        <w:tc>
          <w:tcPr>
            <w:tcW w:w="0" w:type="auto"/>
            <w:tcBorders>
              <w:top w:val="nil"/>
            </w:tcBorders>
            <w:tcMar>
              <w:top w:w="150" w:type="dxa"/>
              <w:left w:w="0" w:type="dxa"/>
              <w:bottom w:w="150" w:type="dxa"/>
              <w:right w:w="240" w:type="dxa"/>
            </w:tcMar>
            <w:vAlign w:val="center"/>
            <w:hideMark/>
          </w:tcPr>
          <w:p w14:paraId="7FBE02C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Critère</w:t>
            </w:r>
          </w:p>
        </w:tc>
        <w:tc>
          <w:tcPr>
            <w:tcW w:w="0" w:type="auto"/>
            <w:tcBorders>
              <w:top w:val="nil"/>
            </w:tcBorders>
            <w:tcMar>
              <w:top w:w="150" w:type="dxa"/>
              <w:left w:w="240" w:type="dxa"/>
              <w:bottom w:w="150" w:type="dxa"/>
              <w:right w:w="240" w:type="dxa"/>
            </w:tcMar>
            <w:vAlign w:val="center"/>
            <w:hideMark/>
          </w:tcPr>
          <w:p w14:paraId="377D9BE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PRUDENT</w:t>
            </w:r>
          </w:p>
        </w:tc>
        <w:tc>
          <w:tcPr>
            <w:tcW w:w="0" w:type="auto"/>
            <w:tcBorders>
              <w:top w:val="nil"/>
            </w:tcBorders>
            <w:tcMar>
              <w:top w:w="150" w:type="dxa"/>
              <w:left w:w="240" w:type="dxa"/>
              <w:bottom w:w="150" w:type="dxa"/>
              <w:right w:w="240" w:type="dxa"/>
            </w:tcMar>
            <w:vAlign w:val="center"/>
            <w:hideMark/>
          </w:tcPr>
          <w:p w14:paraId="68D3DB3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AMBITIEUX</w:t>
            </w:r>
          </w:p>
        </w:tc>
        <w:tc>
          <w:tcPr>
            <w:tcW w:w="0" w:type="auto"/>
            <w:tcBorders>
              <w:top w:val="nil"/>
            </w:tcBorders>
            <w:tcMar>
              <w:top w:w="150" w:type="dxa"/>
              <w:left w:w="240" w:type="dxa"/>
              <w:bottom w:w="150" w:type="dxa"/>
              <w:right w:w="240" w:type="dxa"/>
            </w:tcMar>
            <w:vAlign w:val="center"/>
            <w:hideMark/>
          </w:tcPr>
          <w:p w14:paraId="228EB4F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DISRUPTIF</w:t>
            </w:r>
          </w:p>
        </w:tc>
      </w:tr>
      <w:tr w:rsidR="00677FC1" w:rsidRPr="00677FC1" w14:paraId="633D8BA7" w14:textId="77777777">
        <w:tc>
          <w:tcPr>
            <w:tcW w:w="0" w:type="auto"/>
            <w:tcMar>
              <w:top w:w="150" w:type="dxa"/>
              <w:left w:w="0" w:type="dxa"/>
              <w:bottom w:w="150" w:type="dxa"/>
              <w:right w:w="240" w:type="dxa"/>
            </w:tcMar>
            <w:vAlign w:val="center"/>
            <w:hideMark/>
          </w:tcPr>
          <w:p w14:paraId="0174B99A"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Souveraineté restaurée</w:t>
            </w:r>
          </w:p>
        </w:tc>
        <w:tc>
          <w:tcPr>
            <w:tcW w:w="0" w:type="auto"/>
            <w:tcMar>
              <w:top w:w="150" w:type="dxa"/>
              <w:left w:w="240" w:type="dxa"/>
              <w:bottom w:w="150" w:type="dxa"/>
              <w:right w:w="240" w:type="dxa"/>
            </w:tcMar>
            <w:vAlign w:val="center"/>
            <w:hideMark/>
          </w:tcPr>
          <w:p w14:paraId="7600F8A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Faible (2,3% PIB défense)</w:t>
            </w:r>
          </w:p>
        </w:tc>
        <w:tc>
          <w:tcPr>
            <w:tcW w:w="0" w:type="auto"/>
            <w:tcMar>
              <w:top w:w="150" w:type="dxa"/>
              <w:left w:w="240" w:type="dxa"/>
              <w:bottom w:w="150" w:type="dxa"/>
              <w:right w:w="240" w:type="dxa"/>
            </w:tcMar>
            <w:vAlign w:val="center"/>
            <w:hideMark/>
          </w:tcPr>
          <w:p w14:paraId="1E50D36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Moyenne (2,8% PIB)</w:t>
            </w:r>
          </w:p>
        </w:tc>
        <w:tc>
          <w:tcPr>
            <w:tcW w:w="0" w:type="auto"/>
            <w:tcMar>
              <w:top w:w="150" w:type="dxa"/>
              <w:left w:w="240" w:type="dxa"/>
              <w:bottom w:w="150" w:type="dxa"/>
              <w:right w:w="0" w:type="dxa"/>
            </w:tcMar>
            <w:vAlign w:val="center"/>
            <w:hideMark/>
          </w:tcPr>
          <w:p w14:paraId="1DC9D6A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Élevée (3,5% PIB)</w:t>
            </w:r>
          </w:p>
        </w:tc>
      </w:tr>
      <w:tr w:rsidR="00677FC1" w:rsidRPr="00677FC1" w14:paraId="17875A3E" w14:textId="77777777">
        <w:tc>
          <w:tcPr>
            <w:tcW w:w="0" w:type="auto"/>
            <w:tcMar>
              <w:top w:w="150" w:type="dxa"/>
              <w:left w:w="0" w:type="dxa"/>
              <w:bottom w:w="150" w:type="dxa"/>
              <w:right w:w="240" w:type="dxa"/>
            </w:tcMar>
            <w:vAlign w:val="center"/>
            <w:hideMark/>
          </w:tcPr>
          <w:p w14:paraId="4B23799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Effet sur déficit 2027</w:t>
            </w:r>
          </w:p>
        </w:tc>
        <w:tc>
          <w:tcPr>
            <w:tcW w:w="0" w:type="auto"/>
            <w:tcMar>
              <w:top w:w="150" w:type="dxa"/>
              <w:left w:w="240" w:type="dxa"/>
              <w:bottom w:w="150" w:type="dxa"/>
              <w:right w:w="240" w:type="dxa"/>
            </w:tcMar>
            <w:vAlign w:val="center"/>
            <w:hideMark/>
          </w:tcPr>
          <w:p w14:paraId="2AFC22E5"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-0,07 pt (4,8%)</w:t>
            </w:r>
          </w:p>
        </w:tc>
        <w:tc>
          <w:tcPr>
            <w:tcW w:w="0" w:type="auto"/>
            <w:tcMar>
              <w:top w:w="150" w:type="dxa"/>
              <w:left w:w="240" w:type="dxa"/>
              <w:bottom w:w="150" w:type="dxa"/>
              <w:right w:w="240" w:type="dxa"/>
            </w:tcMar>
            <w:vAlign w:val="center"/>
            <w:hideMark/>
          </w:tcPr>
          <w:p w14:paraId="25D375E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0 pt (5%)</w:t>
            </w:r>
          </w:p>
        </w:tc>
        <w:tc>
          <w:tcPr>
            <w:tcW w:w="0" w:type="auto"/>
            <w:tcMar>
              <w:top w:w="150" w:type="dxa"/>
              <w:left w:w="240" w:type="dxa"/>
              <w:bottom w:w="150" w:type="dxa"/>
              <w:right w:w="0" w:type="dxa"/>
            </w:tcMar>
            <w:vAlign w:val="center"/>
            <w:hideMark/>
          </w:tcPr>
          <w:p w14:paraId="3C5EAFB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+0,5 pt (5,5%)</w:t>
            </w:r>
          </w:p>
        </w:tc>
      </w:tr>
      <w:tr w:rsidR="00677FC1" w:rsidRPr="00677FC1" w14:paraId="4BF91C98" w14:textId="77777777">
        <w:tc>
          <w:tcPr>
            <w:tcW w:w="0" w:type="auto"/>
            <w:tcMar>
              <w:top w:w="150" w:type="dxa"/>
              <w:left w:w="0" w:type="dxa"/>
              <w:bottom w:w="150" w:type="dxa"/>
              <w:right w:w="240" w:type="dxa"/>
            </w:tcMar>
            <w:vAlign w:val="center"/>
            <w:hideMark/>
          </w:tcPr>
          <w:p w14:paraId="3E9DCBC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Effet sur dette 2030</w:t>
            </w:r>
          </w:p>
        </w:tc>
        <w:tc>
          <w:tcPr>
            <w:tcW w:w="0" w:type="auto"/>
            <w:tcMar>
              <w:top w:w="150" w:type="dxa"/>
              <w:left w:w="240" w:type="dxa"/>
              <w:bottom w:w="150" w:type="dxa"/>
              <w:right w:w="240" w:type="dxa"/>
            </w:tcMar>
            <w:vAlign w:val="center"/>
            <w:hideMark/>
          </w:tcPr>
          <w:p w14:paraId="46A031B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117% PIB</w:t>
            </w:r>
          </w:p>
        </w:tc>
        <w:tc>
          <w:tcPr>
            <w:tcW w:w="0" w:type="auto"/>
            <w:tcMar>
              <w:top w:w="150" w:type="dxa"/>
              <w:left w:w="240" w:type="dxa"/>
              <w:bottom w:w="150" w:type="dxa"/>
              <w:right w:w="240" w:type="dxa"/>
            </w:tcMar>
            <w:vAlign w:val="center"/>
            <w:hideMark/>
          </w:tcPr>
          <w:p w14:paraId="0A9F325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116% PIB</w:t>
            </w:r>
          </w:p>
        </w:tc>
        <w:tc>
          <w:tcPr>
            <w:tcW w:w="0" w:type="auto"/>
            <w:tcMar>
              <w:top w:w="150" w:type="dxa"/>
              <w:left w:w="240" w:type="dxa"/>
              <w:bottom w:w="150" w:type="dxa"/>
              <w:right w:w="0" w:type="dxa"/>
            </w:tcMar>
            <w:vAlign w:val="center"/>
            <w:hideMark/>
          </w:tcPr>
          <w:p w14:paraId="1859E6D4"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120-125% PIB</w:t>
            </w:r>
          </w:p>
        </w:tc>
      </w:tr>
      <w:tr w:rsidR="00677FC1" w:rsidRPr="00677FC1" w14:paraId="6926990D" w14:textId="77777777">
        <w:tc>
          <w:tcPr>
            <w:tcW w:w="0" w:type="auto"/>
            <w:tcMar>
              <w:top w:w="150" w:type="dxa"/>
              <w:left w:w="0" w:type="dxa"/>
              <w:bottom w:w="150" w:type="dxa"/>
              <w:right w:w="240" w:type="dxa"/>
            </w:tcMar>
            <w:vAlign w:val="center"/>
            <w:hideMark/>
          </w:tcPr>
          <w:p w14:paraId="2ECADB4C"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Cohésion sociale</w:t>
            </w:r>
          </w:p>
        </w:tc>
        <w:tc>
          <w:tcPr>
            <w:tcW w:w="0" w:type="auto"/>
            <w:tcMar>
              <w:top w:w="150" w:type="dxa"/>
              <w:left w:w="240" w:type="dxa"/>
              <w:bottom w:w="150" w:type="dxa"/>
              <w:right w:w="240" w:type="dxa"/>
            </w:tcMar>
            <w:vAlign w:val="center"/>
            <w:hideMark/>
          </w:tcPr>
          <w:p w14:paraId="374BB18D"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Préservée</w:t>
            </w:r>
          </w:p>
        </w:tc>
        <w:tc>
          <w:tcPr>
            <w:tcW w:w="0" w:type="auto"/>
            <w:tcMar>
              <w:top w:w="150" w:type="dxa"/>
              <w:left w:w="240" w:type="dxa"/>
              <w:bottom w:w="150" w:type="dxa"/>
              <w:right w:w="240" w:type="dxa"/>
            </w:tcMar>
            <w:vAlign w:val="center"/>
            <w:hideMark/>
          </w:tcPr>
          <w:p w14:paraId="6DE737E0"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Slightly degraded</w:t>
            </w:r>
          </w:p>
        </w:tc>
        <w:tc>
          <w:tcPr>
            <w:tcW w:w="0" w:type="auto"/>
            <w:tcMar>
              <w:top w:w="150" w:type="dxa"/>
              <w:left w:w="240" w:type="dxa"/>
              <w:bottom w:w="150" w:type="dxa"/>
              <w:right w:w="0" w:type="dxa"/>
            </w:tcMar>
            <w:vAlign w:val="center"/>
            <w:hideMark/>
          </w:tcPr>
          <w:p w14:paraId="5A577B6B"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Fracture potentielle</w:t>
            </w:r>
          </w:p>
        </w:tc>
      </w:tr>
      <w:tr w:rsidR="00677FC1" w:rsidRPr="00677FC1" w14:paraId="7FEC1F53" w14:textId="77777777">
        <w:tc>
          <w:tcPr>
            <w:tcW w:w="0" w:type="auto"/>
            <w:tcMar>
              <w:top w:w="150" w:type="dxa"/>
              <w:left w:w="0" w:type="dxa"/>
              <w:bottom w:w="150" w:type="dxa"/>
              <w:right w:w="240" w:type="dxa"/>
            </w:tcMar>
            <w:vAlign w:val="center"/>
            <w:hideMark/>
          </w:tcPr>
          <w:p w14:paraId="08CA781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lastRenderedPageBreak/>
              <w:t>Réversibilité</w:t>
            </w:r>
          </w:p>
        </w:tc>
        <w:tc>
          <w:tcPr>
            <w:tcW w:w="0" w:type="auto"/>
            <w:tcMar>
              <w:top w:w="150" w:type="dxa"/>
              <w:left w:w="240" w:type="dxa"/>
              <w:bottom w:w="150" w:type="dxa"/>
              <w:right w:w="240" w:type="dxa"/>
            </w:tcMar>
            <w:vAlign w:val="center"/>
            <w:hideMark/>
          </w:tcPr>
          <w:p w14:paraId="5A6EDC0E"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Élevée</w:t>
            </w:r>
          </w:p>
        </w:tc>
        <w:tc>
          <w:tcPr>
            <w:tcW w:w="0" w:type="auto"/>
            <w:tcMar>
              <w:top w:w="150" w:type="dxa"/>
              <w:left w:w="240" w:type="dxa"/>
              <w:bottom w:w="150" w:type="dxa"/>
              <w:right w:w="240" w:type="dxa"/>
            </w:tcMar>
            <w:vAlign w:val="center"/>
            <w:hideMark/>
          </w:tcPr>
          <w:p w14:paraId="69FCF806"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Moyenne</w:t>
            </w:r>
          </w:p>
        </w:tc>
        <w:tc>
          <w:tcPr>
            <w:tcW w:w="0" w:type="auto"/>
            <w:tcMar>
              <w:top w:w="150" w:type="dxa"/>
              <w:left w:w="240" w:type="dxa"/>
              <w:bottom w:w="150" w:type="dxa"/>
              <w:right w:w="0" w:type="dxa"/>
            </w:tcMar>
            <w:vAlign w:val="center"/>
            <w:hideMark/>
          </w:tcPr>
          <w:p w14:paraId="28C3F07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Très faible</w:t>
            </w:r>
          </w:p>
        </w:tc>
      </w:tr>
      <w:tr w:rsidR="00677FC1" w:rsidRPr="00677FC1" w14:paraId="3CC9334A" w14:textId="77777777">
        <w:tc>
          <w:tcPr>
            <w:tcW w:w="0" w:type="auto"/>
            <w:tcMar>
              <w:top w:w="150" w:type="dxa"/>
              <w:left w:w="0" w:type="dxa"/>
              <w:bottom w:w="150" w:type="dxa"/>
              <w:right w:w="240" w:type="dxa"/>
            </w:tcMar>
            <w:vAlign w:val="center"/>
            <w:hideMark/>
          </w:tcPr>
          <w:p w14:paraId="207AB228"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Probabilité de tenir</w:t>
            </w:r>
          </w:p>
        </w:tc>
        <w:tc>
          <w:tcPr>
            <w:tcW w:w="0" w:type="auto"/>
            <w:tcMar>
              <w:top w:w="150" w:type="dxa"/>
              <w:left w:w="240" w:type="dxa"/>
              <w:bottom w:w="150" w:type="dxa"/>
              <w:right w:w="240" w:type="dxa"/>
            </w:tcMar>
            <w:vAlign w:val="center"/>
            <w:hideMark/>
          </w:tcPr>
          <w:p w14:paraId="1E117DE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80%</w:t>
            </w:r>
          </w:p>
        </w:tc>
        <w:tc>
          <w:tcPr>
            <w:tcW w:w="0" w:type="auto"/>
            <w:tcMar>
              <w:top w:w="150" w:type="dxa"/>
              <w:left w:w="240" w:type="dxa"/>
              <w:bottom w:w="150" w:type="dxa"/>
              <w:right w:w="240" w:type="dxa"/>
            </w:tcMar>
            <w:vAlign w:val="center"/>
            <w:hideMark/>
          </w:tcPr>
          <w:p w14:paraId="2016CFF2"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55%</w:t>
            </w:r>
          </w:p>
        </w:tc>
        <w:tc>
          <w:tcPr>
            <w:tcW w:w="0" w:type="auto"/>
            <w:tcMar>
              <w:top w:w="150" w:type="dxa"/>
              <w:left w:w="240" w:type="dxa"/>
              <w:bottom w:w="150" w:type="dxa"/>
              <w:right w:w="0" w:type="dxa"/>
            </w:tcMar>
            <w:vAlign w:val="center"/>
            <w:hideMark/>
          </w:tcPr>
          <w:p w14:paraId="26343B07"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20%</w:t>
            </w:r>
          </w:p>
        </w:tc>
      </w:tr>
      <w:tr w:rsidR="00677FC1" w:rsidRPr="00677FC1" w14:paraId="3B4F0E4D" w14:textId="77777777">
        <w:tc>
          <w:tcPr>
            <w:tcW w:w="0" w:type="auto"/>
            <w:tcMar>
              <w:top w:w="150" w:type="dxa"/>
              <w:left w:w="0" w:type="dxa"/>
              <w:bottom w:w="150" w:type="dxa"/>
              <w:right w:w="240" w:type="dxa"/>
            </w:tcMar>
            <w:vAlign w:val="center"/>
            <w:hideMark/>
          </w:tcPr>
          <w:p w14:paraId="0DC17D1F"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b/>
                <w:bCs/>
                <w:kern w:val="0"/>
                <w:sz w:val="23"/>
                <w:szCs w:val="23"/>
                <w:lang w:eastAsia="fr-FR"/>
                <w14:ligatures w14:val="none"/>
              </w:rPr>
              <w:t>Transformation du pays</w:t>
            </w:r>
          </w:p>
        </w:tc>
        <w:tc>
          <w:tcPr>
            <w:tcW w:w="0" w:type="auto"/>
            <w:tcMar>
              <w:top w:w="150" w:type="dxa"/>
              <w:left w:w="240" w:type="dxa"/>
              <w:bottom w:w="150" w:type="dxa"/>
              <w:right w:w="240" w:type="dxa"/>
            </w:tcMar>
            <w:vAlign w:val="center"/>
            <w:hideMark/>
          </w:tcPr>
          <w:p w14:paraId="52E9BC9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3/10</w:t>
            </w:r>
          </w:p>
        </w:tc>
        <w:tc>
          <w:tcPr>
            <w:tcW w:w="0" w:type="auto"/>
            <w:tcMar>
              <w:top w:w="150" w:type="dxa"/>
              <w:left w:w="240" w:type="dxa"/>
              <w:bottom w:w="150" w:type="dxa"/>
              <w:right w:w="240" w:type="dxa"/>
            </w:tcMar>
            <w:vAlign w:val="center"/>
            <w:hideMark/>
          </w:tcPr>
          <w:p w14:paraId="6BF3EA4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7/10</w:t>
            </w:r>
          </w:p>
        </w:tc>
        <w:tc>
          <w:tcPr>
            <w:tcW w:w="0" w:type="auto"/>
            <w:tcMar>
              <w:top w:w="150" w:type="dxa"/>
              <w:left w:w="240" w:type="dxa"/>
              <w:bottom w:w="150" w:type="dxa"/>
              <w:right w:w="0" w:type="dxa"/>
            </w:tcMar>
            <w:vAlign w:val="center"/>
            <w:hideMark/>
          </w:tcPr>
          <w:p w14:paraId="076EA8D1" w14:textId="77777777" w:rsidR="00677FC1" w:rsidRPr="00677FC1" w:rsidRDefault="00677FC1" w:rsidP="00677FC1">
            <w:pPr>
              <w:spacing w:after="0" w:line="375" w:lineRule="atLeast"/>
              <w:rPr>
                <w:rFonts w:ascii="Segoe UI" w:eastAsia="Times New Roman" w:hAnsi="Segoe UI" w:cs="Segoe UI"/>
                <w:kern w:val="0"/>
                <w:sz w:val="23"/>
                <w:szCs w:val="23"/>
                <w:lang w:eastAsia="fr-FR"/>
                <w14:ligatures w14:val="none"/>
              </w:rPr>
            </w:pPr>
            <w:r w:rsidRPr="00677FC1">
              <w:rPr>
                <w:rFonts w:ascii="Segoe UI" w:eastAsia="Times New Roman" w:hAnsi="Segoe UI" w:cs="Segoe UI"/>
                <w:kern w:val="0"/>
                <w:sz w:val="23"/>
                <w:szCs w:val="23"/>
                <w:lang w:eastAsia="fr-FR"/>
                <w14:ligatures w14:val="none"/>
              </w:rPr>
              <w:t>9/10</w:t>
            </w:r>
          </w:p>
        </w:tc>
      </w:tr>
    </w:tbl>
    <w:p w14:paraId="62E47889"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Recommandation</w:t>
      </w:r>
    </w:p>
    <w:p w14:paraId="71F1146E"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Je recommande une </w:t>
      </w:r>
      <w:r w:rsidRPr="00677FC1">
        <w:rPr>
          <w:rFonts w:ascii="Segoe UI" w:eastAsia="Times New Roman" w:hAnsi="Segoe UI" w:cs="Segoe UI"/>
          <w:b/>
          <w:bCs/>
          <w:color w:val="0F1115"/>
          <w:kern w:val="0"/>
          <w:lang w:eastAsia="fr-FR"/>
          <w14:ligatures w14:val="none"/>
        </w:rPr>
        <w:t>combinaison : scénario AMBITIEUX + éléments du PRUDENT</w:t>
      </w:r>
      <w:r w:rsidRPr="00677FC1">
        <w:rPr>
          <w:rFonts w:ascii="Segoe UI" w:eastAsia="Times New Roman" w:hAnsi="Segoe UI" w:cs="Segoe UI"/>
          <w:color w:val="0F1115"/>
          <w:kern w:val="0"/>
          <w:lang w:eastAsia="fr-FR"/>
          <w14:ligatures w14:val="none"/>
        </w:rPr>
        <w:t>.</w:t>
      </w:r>
    </w:p>
    <w:p w14:paraId="48A9B90B"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Raisonnement</w:t>
      </w:r>
      <w:r w:rsidRPr="00677FC1">
        <w:rPr>
          <w:rFonts w:ascii="Segoe UI" w:eastAsia="Times New Roman" w:hAnsi="Segoe UI" w:cs="Segoe UI"/>
          <w:color w:val="0F1115"/>
          <w:kern w:val="0"/>
          <w:lang w:eastAsia="fr-FR"/>
          <w14:ligatures w14:val="none"/>
        </w:rPr>
        <w:t> :</w:t>
      </w:r>
    </w:p>
    <w:p w14:paraId="322CC937" w14:textId="77777777" w:rsidR="00677FC1" w:rsidRPr="00677FC1" w:rsidRDefault="00677FC1" w:rsidP="00677FC1">
      <w:pPr>
        <w:numPr>
          <w:ilvl w:val="0"/>
          <w:numId w:val="3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Le PRUDENT est insuffisant</w:t>
      </w:r>
      <w:r w:rsidRPr="00677FC1">
        <w:rPr>
          <w:rFonts w:ascii="Segoe UI" w:eastAsia="Times New Roman" w:hAnsi="Segoe UI" w:cs="Segoe UI"/>
          <w:color w:val="0F1115"/>
          <w:kern w:val="0"/>
          <w:lang w:eastAsia="fr-FR"/>
          <w14:ligatures w14:val="none"/>
        </w:rPr>
        <w:t>. La situation budgétaire est "alarmante" . Un simple gel des dépenses ne suffira pas à réduire un déficit de 5% PIB et une dette de 118%. Les marchés, les partenaires européens et les agences de notation attendent des signaux forts. La charge d'intérêts, qui va atteindre 80 Md€ en 2027, est une "bombe à retardement" .</w:t>
      </w:r>
    </w:p>
    <w:p w14:paraId="7B30243C" w14:textId="77777777" w:rsidR="00677FC1" w:rsidRPr="00677FC1" w:rsidRDefault="00677FC1" w:rsidP="00677FC1">
      <w:pPr>
        <w:numPr>
          <w:ilvl w:val="0"/>
          <w:numId w:val="3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Le DISRUPTIF est trop risqué</w:t>
      </w:r>
      <w:r w:rsidRPr="00677FC1">
        <w:rPr>
          <w:rFonts w:ascii="Segoe UI" w:eastAsia="Times New Roman" w:hAnsi="Segoe UI" w:cs="Segoe UI"/>
          <w:color w:val="0F1115"/>
          <w:kern w:val="0"/>
          <w:lang w:eastAsia="fr-FR"/>
          <w14:ligatures w14:val="none"/>
        </w:rPr>
        <w:t>. Son couple "incertitude-irréversibilité" en fait un pari non responsable. Les économies de 40 Md€ sur la dépense publique supposent des hypothèses de réduction d'effectifs jamais vérifiées ; les 35 Md€ de recettes fiscales supplémentaires supposent une stabilité comportementale irréaliste. La France n'a pas la résilience sociale et politique pour absorber un tel choc en l'état actuel des tensions. Une contraction fiscale mal séquencée pourrait déclencher une spirale déflationniste .</w:t>
      </w:r>
    </w:p>
    <w:p w14:paraId="00EB0929" w14:textId="77777777" w:rsidR="00677FC1" w:rsidRPr="00677FC1" w:rsidRDefault="00677FC1" w:rsidP="00677FC1">
      <w:pPr>
        <w:numPr>
          <w:ilvl w:val="0"/>
          <w:numId w:val="31"/>
        </w:numPr>
        <w:shd w:val="clear" w:color="auto" w:fill="FFFFFF"/>
        <w:spacing w:after="12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L'AMBITIEUX est le bon compromis</w:t>
      </w:r>
      <w:r w:rsidRPr="00677FC1">
        <w:rPr>
          <w:rFonts w:ascii="Segoe UI" w:eastAsia="Times New Roman" w:hAnsi="Segoe UI" w:cs="Segoe UI"/>
          <w:color w:val="0F1115"/>
          <w:kern w:val="0"/>
          <w:lang w:eastAsia="fr-FR"/>
          <w14:ligatures w14:val="none"/>
        </w:rPr>
        <w:t>. Il engage des réformes structurelles crédibles :</w:t>
      </w:r>
    </w:p>
    <w:p w14:paraId="53CB2B02" w14:textId="77777777" w:rsidR="00677FC1" w:rsidRPr="00677FC1" w:rsidRDefault="00677FC1" w:rsidP="00677FC1">
      <w:pPr>
        <w:numPr>
          <w:ilvl w:val="1"/>
          <w:numId w:val="3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Économies de 45 Md€/an (dépense + niches fiscales)</w:t>
      </w:r>
    </w:p>
    <w:p w14:paraId="343DBFA6" w14:textId="77777777" w:rsidR="00677FC1" w:rsidRPr="00677FC1" w:rsidRDefault="00677FC1" w:rsidP="00677FC1">
      <w:pPr>
        <w:numPr>
          <w:ilvl w:val="1"/>
          <w:numId w:val="3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Investissements de souveraineté ciblés (défense, énergie, éducation)</w:t>
      </w:r>
    </w:p>
    <w:p w14:paraId="3FEE1307" w14:textId="77777777" w:rsidR="00677FC1" w:rsidRPr="00677FC1" w:rsidRDefault="00677FC1" w:rsidP="00677FC1">
      <w:pPr>
        <w:numPr>
          <w:ilvl w:val="1"/>
          <w:numId w:val="3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Réforme des retraites à 65 ans (préconisée par la Cour des comptes, +17,7 Md€)</w:t>
      </w:r>
    </w:p>
    <w:p w14:paraId="2B5CD793" w14:textId="77777777" w:rsidR="00677FC1" w:rsidRPr="00677FC1" w:rsidRDefault="00677FC1" w:rsidP="00677FC1">
      <w:pPr>
        <w:numPr>
          <w:ilvl w:val="1"/>
          <w:numId w:val="31"/>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Stabilité du déficit (pas de creusement, pas de résorption magique)</w:t>
      </w:r>
    </w:p>
    <w:p w14:paraId="23C6E8B0" w14:textId="77777777" w:rsidR="00677FC1" w:rsidRPr="00677FC1" w:rsidRDefault="00677FC1" w:rsidP="00677FC1">
      <w:pPr>
        <w:shd w:val="clear" w:color="auto" w:fill="FFFFFF"/>
        <w:spacing w:before="120" w:after="0" w:line="240" w:lineRule="auto"/>
        <w:ind w:left="720"/>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Le déficit reste à 5% PIB — ce qui doit être dit clairement — mais la structure de la dépense évolue favorablement (moins de dépenses de fonctionnement, plus d'investissement productif). La dette se stabilise avant de baisser à partir de 2030.</w:t>
      </w:r>
    </w:p>
    <w:p w14:paraId="20D969F4" w14:textId="77777777" w:rsidR="00677FC1" w:rsidRPr="00677FC1" w:rsidRDefault="00677FC1" w:rsidP="00677FC1">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677FC1">
        <w:rPr>
          <w:rFonts w:ascii="Segoe UI" w:eastAsia="Times New Roman" w:hAnsi="Segoe UI" w:cs="Segoe UI"/>
          <w:b/>
          <w:bCs/>
          <w:color w:val="0F1115"/>
          <w:kern w:val="0"/>
          <w:sz w:val="30"/>
          <w:szCs w:val="30"/>
          <w:lang w:eastAsia="fr-FR"/>
          <w14:ligatures w14:val="none"/>
        </w:rPr>
        <w:t>Gagnants et perdants</w:t>
      </w:r>
    </w:p>
    <w:p w14:paraId="4FC26A17"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lastRenderedPageBreak/>
        <w:t>Gagnants</w:t>
      </w:r>
      <w:r w:rsidRPr="00677FC1">
        <w:rPr>
          <w:rFonts w:ascii="Segoe UI" w:eastAsia="Times New Roman" w:hAnsi="Segoe UI" w:cs="Segoe UI"/>
          <w:color w:val="0F1115"/>
          <w:kern w:val="0"/>
          <w:lang w:eastAsia="fr-FR"/>
          <w14:ligatures w14:val="none"/>
        </w:rPr>
        <w:t> :</w:t>
      </w:r>
    </w:p>
    <w:p w14:paraId="706CD3E3" w14:textId="77777777" w:rsidR="00677FC1" w:rsidRPr="00677FC1" w:rsidRDefault="00677FC1" w:rsidP="00677FC1">
      <w:pPr>
        <w:numPr>
          <w:ilvl w:val="0"/>
          <w:numId w:val="3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Les jeunes générations (éducation, petite enfance, emploi)</w:t>
      </w:r>
    </w:p>
    <w:p w14:paraId="1A099C03" w14:textId="77777777" w:rsidR="00677FC1" w:rsidRPr="00677FC1" w:rsidRDefault="00677FC1" w:rsidP="00677FC1">
      <w:pPr>
        <w:numPr>
          <w:ilvl w:val="0"/>
          <w:numId w:val="3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Les filières industrielles de souveraineté (défense, énergie, numérique)</w:t>
      </w:r>
    </w:p>
    <w:p w14:paraId="7DB2CBD2" w14:textId="77777777" w:rsidR="00677FC1" w:rsidRPr="00677FC1" w:rsidRDefault="00677FC1" w:rsidP="00677FC1">
      <w:pPr>
        <w:numPr>
          <w:ilvl w:val="0"/>
          <w:numId w:val="3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Les contribuables de la classe moyenne (simplification fiscale)</w:t>
      </w:r>
    </w:p>
    <w:p w14:paraId="4F4221FD" w14:textId="77777777" w:rsidR="00677FC1" w:rsidRPr="00677FC1" w:rsidRDefault="00677FC1" w:rsidP="00677FC1">
      <w:pPr>
        <w:numPr>
          <w:ilvl w:val="0"/>
          <w:numId w:val="32"/>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La crédibilité internationale de la France (Europe, marchés)</w:t>
      </w:r>
    </w:p>
    <w:p w14:paraId="371EB390"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Perdants</w:t>
      </w:r>
      <w:r w:rsidRPr="00677FC1">
        <w:rPr>
          <w:rFonts w:ascii="Segoe UI" w:eastAsia="Times New Roman" w:hAnsi="Segoe UI" w:cs="Segoe UI"/>
          <w:color w:val="0F1115"/>
          <w:kern w:val="0"/>
          <w:lang w:eastAsia="fr-FR"/>
          <w14:ligatures w14:val="none"/>
        </w:rPr>
        <w:t> :</w:t>
      </w:r>
    </w:p>
    <w:p w14:paraId="2FDB6E2F" w14:textId="77777777" w:rsidR="00677FC1" w:rsidRPr="00677FC1" w:rsidRDefault="00677FC1" w:rsidP="00677FC1">
      <w:pPr>
        <w:numPr>
          <w:ilvl w:val="0"/>
          <w:numId w:val="3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Les fonctionnaires de l'administration centrale (réduction d'effectifs)</w:t>
      </w:r>
    </w:p>
    <w:p w14:paraId="101ED6DF" w14:textId="77777777" w:rsidR="00677FC1" w:rsidRPr="00677FC1" w:rsidRDefault="00677FC1" w:rsidP="00677FC1">
      <w:pPr>
        <w:numPr>
          <w:ilvl w:val="0"/>
          <w:numId w:val="3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Les bénéficiaires de niches fiscales (entreprises, professions libérales)</w:t>
      </w:r>
    </w:p>
    <w:p w14:paraId="0A25DBAB" w14:textId="77777777" w:rsidR="00677FC1" w:rsidRPr="00677FC1" w:rsidRDefault="00677FC1" w:rsidP="00677FC1">
      <w:pPr>
        <w:numPr>
          <w:ilvl w:val="0"/>
          <w:numId w:val="3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Les retraités actuels (indexation limitée, âge légal à 65 ans)</w:t>
      </w:r>
    </w:p>
    <w:p w14:paraId="6968DA81" w14:textId="77777777" w:rsidR="00677FC1" w:rsidRPr="00677FC1" w:rsidRDefault="00677FC1" w:rsidP="00677FC1">
      <w:pPr>
        <w:numPr>
          <w:ilvl w:val="0"/>
          <w:numId w:val="33"/>
        </w:numPr>
        <w:shd w:val="clear" w:color="auto" w:fill="FFFFFF"/>
        <w:spacing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color w:val="0F1115"/>
          <w:kern w:val="0"/>
          <w:lang w:eastAsia="fr-FR"/>
          <w14:ligatures w14:val="none"/>
        </w:rPr>
        <w:t>Les collectivités locales (réduction des transferts)</w:t>
      </w:r>
    </w:p>
    <w:p w14:paraId="76936738" w14:textId="77777777" w:rsidR="00677FC1" w:rsidRPr="00677FC1" w:rsidRDefault="00677FC1" w:rsidP="00677FC1">
      <w:pPr>
        <w:shd w:val="clear" w:color="auto" w:fill="FFFFFF"/>
        <w:spacing w:before="240" w:after="24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b/>
          <w:bCs/>
          <w:color w:val="0F1115"/>
          <w:kern w:val="0"/>
          <w:lang w:eastAsia="fr-FR"/>
          <w14:ligatures w14:val="none"/>
        </w:rPr>
        <w:t>Perdants à court terme, gagnants à long terme</w:t>
      </w:r>
      <w:r w:rsidRPr="00677FC1">
        <w:rPr>
          <w:rFonts w:ascii="Segoe UI" w:eastAsia="Times New Roman" w:hAnsi="Segoe UI" w:cs="Segoe UI"/>
          <w:color w:val="0F1115"/>
          <w:kern w:val="0"/>
          <w:lang w:eastAsia="fr-FR"/>
          <w14:ligatures w14:val="none"/>
        </w:rPr>
        <w:t> : La France elle-même, si les réformes sont tenues.</w:t>
      </w:r>
    </w:p>
    <w:p w14:paraId="0FEBBFD0" w14:textId="77777777" w:rsidR="00677FC1" w:rsidRPr="00677FC1" w:rsidRDefault="0090336C" w:rsidP="00677FC1">
      <w:pPr>
        <w:spacing w:before="480" w:after="480" w:line="240" w:lineRule="auto"/>
        <w:rPr>
          <w:rFonts w:ascii="Segoe UI" w:eastAsia="Times New Roman" w:hAnsi="Segoe UI" w:cs="Segoe UI"/>
          <w:kern w:val="0"/>
          <w:lang w:eastAsia="fr-FR"/>
          <w14:ligatures w14:val="none"/>
        </w:rPr>
      </w:pPr>
      <w:r w:rsidRPr="0090336C">
        <w:rPr>
          <w:rFonts w:ascii="Times New Roman" w:eastAsia="Times New Roman" w:hAnsi="Times New Roman" w:cs="Times New Roman"/>
          <w:noProof/>
          <w:kern w:val="0"/>
          <w:lang w:eastAsia="fr-FR"/>
        </w:rPr>
        <w:pict w14:anchorId="70D6DA3E">
          <v:rect id="_x0000_i1039" style="width:0;height:.75pt" o:hralign="center" o:hrstd="t" o:hr="t" fillcolor="#a0a0a0" stroked="f"/>
        </w:pict>
      </w:r>
    </w:p>
    <w:p w14:paraId="622A5AC3" w14:textId="77777777" w:rsidR="00677FC1" w:rsidRPr="00677FC1" w:rsidRDefault="00677FC1" w:rsidP="00677FC1">
      <w:pPr>
        <w:shd w:val="clear" w:color="auto" w:fill="FFFFFF"/>
        <w:spacing w:before="240" w:after="0" w:line="240" w:lineRule="auto"/>
        <w:rPr>
          <w:rFonts w:ascii="Segoe UI" w:eastAsia="Times New Roman" w:hAnsi="Segoe UI" w:cs="Segoe UI"/>
          <w:color w:val="0F1115"/>
          <w:kern w:val="0"/>
          <w:lang w:eastAsia="fr-FR"/>
          <w14:ligatures w14:val="none"/>
        </w:rPr>
      </w:pPr>
      <w:r w:rsidRPr="00677FC1">
        <w:rPr>
          <w:rFonts w:ascii="Segoe UI" w:eastAsia="Times New Roman" w:hAnsi="Segoe UI" w:cs="Segoe UI"/>
          <w:i/>
          <w:iCs/>
          <w:color w:val="0F1115"/>
          <w:kern w:val="0"/>
          <w:lang w:eastAsia="fr-FR"/>
          <w14:ligatures w14:val="none"/>
        </w:rPr>
        <w:t>Ce document est une construction à contester, pas un verdict. Toute donnée non sourcée est une HYPOTHÈSE ou une ESTIMATION. Les décisions politiques finales relèvent de la souveraineté populaire.</w:t>
      </w:r>
    </w:p>
    <w:p w14:paraId="35B8963A" w14:textId="77777777" w:rsidR="003F72FF" w:rsidRDefault="003F72FF"/>
    <w:sectPr w:rsidR="003F72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066B8"/>
    <w:multiLevelType w:val="multilevel"/>
    <w:tmpl w:val="D4EA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C4F5D"/>
    <w:multiLevelType w:val="multilevel"/>
    <w:tmpl w:val="E526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9257D"/>
    <w:multiLevelType w:val="multilevel"/>
    <w:tmpl w:val="E254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77938"/>
    <w:multiLevelType w:val="multilevel"/>
    <w:tmpl w:val="413A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72066"/>
    <w:multiLevelType w:val="multilevel"/>
    <w:tmpl w:val="2A48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B4573"/>
    <w:multiLevelType w:val="multilevel"/>
    <w:tmpl w:val="2F50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A7063"/>
    <w:multiLevelType w:val="multilevel"/>
    <w:tmpl w:val="8EF0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F7643D"/>
    <w:multiLevelType w:val="multilevel"/>
    <w:tmpl w:val="927C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42AA0"/>
    <w:multiLevelType w:val="multilevel"/>
    <w:tmpl w:val="D5F4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D701F2"/>
    <w:multiLevelType w:val="multilevel"/>
    <w:tmpl w:val="865C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57E54"/>
    <w:multiLevelType w:val="multilevel"/>
    <w:tmpl w:val="7A5C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51C39"/>
    <w:multiLevelType w:val="multilevel"/>
    <w:tmpl w:val="D59A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91616"/>
    <w:multiLevelType w:val="multilevel"/>
    <w:tmpl w:val="01E4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D32476"/>
    <w:multiLevelType w:val="multilevel"/>
    <w:tmpl w:val="073C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B00BE2"/>
    <w:multiLevelType w:val="multilevel"/>
    <w:tmpl w:val="F9DC2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034251"/>
    <w:multiLevelType w:val="multilevel"/>
    <w:tmpl w:val="D4EA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D774C"/>
    <w:multiLevelType w:val="multilevel"/>
    <w:tmpl w:val="DA4A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206ED9"/>
    <w:multiLevelType w:val="multilevel"/>
    <w:tmpl w:val="B15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375803"/>
    <w:multiLevelType w:val="multilevel"/>
    <w:tmpl w:val="5E9A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414E78"/>
    <w:multiLevelType w:val="multilevel"/>
    <w:tmpl w:val="28FC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4B7CD2"/>
    <w:multiLevelType w:val="multilevel"/>
    <w:tmpl w:val="D314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372EA0"/>
    <w:multiLevelType w:val="multilevel"/>
    <w:tmpl w:val="BFF4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145F0F"/>
    <w:multiLevelType w:val="multilevel"/>
    <w:tmpl w:val="1760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0F265E"/>
    <w:multiLevelType w:val="multilevel"/>
    <w:tmpl w:val="3FFAE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25768D"/>
    <w:multiLevelType w:val="multilevel"/>
    <w:tmpl w:val="A0BE41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910C44"/>
    <w:multiLevelType w:val="multilevel"/>
    <w:tmpl w:val="7972A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673990"/>
    <w:multiLevelType w:val="multilevel"/>
    <w:tmpl w:val="2816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155957"/>
    <w:multiLevelType w:val="multilevel"/>
    <w:tmpl w:val="55B0C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FC278F"/>
    <w:multiLevelType w:val="multilevel"/>
    <w:tmpl w:val="BF0CC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60777C"/>
    <w:multiLevelType w:val="multilevel"/>
    <w:tmpl w:val="2E5E5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B35AFA"/>
    <w:multiLevelType w:val="multilevel"/>
    <w:tmpl w:val="FE9A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8E02DC"/>
    <w:multiLevelType w:val="multilevel"/>
    <w:tmpl w:val="9C24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6E1898"/>
    <w:multiLevelType w:val="multilevel"/>
    <w:tmpl w:val="6D002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554348">
    <w:abstractNumId w:val="14"/>
  </w:num>
  <w:num w:numId="2" w16cid:durableId="308677362">
    <w:abstractNumId w:val="3"/>
  </w:num>
  <w:num w:numId="3" w16cid:durableId="1724909018">
    <w:abstractNumId w:val="1"/>
  </w:num>
  <w:num w:numId="4" w16cid:durableId="884369215">
    <w:abstractNumId w:val="12"/>
  </w:num>
  <w:num w:numId="5" w16cid:durableId="661349033">
    <w:abstractNumId w:val="10"/>
  </w:num>
  <w:num w:numId="6" w16cid:durableId="912280933">
    <w:abstractNumId w:val="13"/>
  </w:num>
  <w:num w:numId="7" w16cid:durableId="1879775811">
    <w:abstractNumId w:val="27"/>
  </w:num>
  <w:num w:numId="8" w16cid:durableId="1626935018">
    <w:abstractNumId w:val="8"/>
  </w:num>
  <w:num w:numId="9" w16cid:durableId="1231884463">
    <w:abstractNumId w:val="26"/>
  </w:num>
  <w:num w:numId="10" w16cid:durableId="1016737607">
    <w:abstractNumId w:val="15"/>
  </w:num>
  <w:num w:numId="11" w16cid:durableId="1092508795">
    <w:abstractNumId w:val="28"/>
  </w:num>
  <w:num w:numId="12" w16cid:durableId="2082289580">
    <w:abstractNumId w:val="5"/>
  </w:num>
  <w:num w:numId="13" w16cid:durableId="314266233">
    <w:abstractNumId w:val="31"/>
  </w:num>
  <w:num w:numId="14" w16cid:durableId="615872422">
    <w:abstractNumId w:val="9"/>
  </w:num>
  <w:num w:numId="15" w16cid:durableId="1742826351">
    <w:abstractNumId w:val="29"/>
  </w:num>
  <w:num w:numId="16" w16cid:durableId="1037773030">
    <w:abstractNumId w:val="16"/>
  </w:num>
  <w:num w:numId="17" w16cid:durableId="649604408">
    <w:abstractNumId w:val="11"/>
  </w:num>
  <w:num w:numId="18" w16cid:durableId="1079206643">
    <w:abstractNumId w:val="0"/>
  </w:num>
  <w:num w:numId="19" w16cid:durableId="341128062">
    <w:abstractNumId w:val="19"/>
  </w:num>
  <w:num w:numId="20" w16cid:durableId="2128884242">
    <w:abstractNumId w:val="6"/>
  </w:num>
  <w:num w:numId="21" w16cid:durableId="1135563023">
    <w:abstractNumId w:val="4"/>
  </w:num>
  <w:num w:numId="22" w16cid:durableId="1298871926">
    <w:abstractNumId w:val="32"/>
  </w:num>
  <w:num w:numId="23" w16cid:durableId="1131241920">
    <w:abstractNumId w:val="2"/>
  </w:num>
  <w:num w:numId="24" w16cid:durableId="174267365">
    <w:abstractNumId w:val="22"/>
  </w:num>
  <w:num w:numId="25" w16cid:durableId="71318765">
    <w:abstractNumId w:val="21"/>
  </w:num>
  <w:num w:numId="26" w16cid:durableId="102656595">
    <w:abstractNumId w:val="17"/>
  </w:num>
  <w:num w:numId="27" w16cid:durableId="248269734">
    <w:abstractNumId w:val="23"/>
  </w:num>
  <w:num w:numId="28" w16cid:durableId="847329064">
    <w:abstractNumId w:val="25"/>
  </w:num>
  <w:num w:numId="29" w16cid:durableId="2065447391">
    <w:abstractNumId w:val="7"/>
  </w:num>
  <w:num w:numId="30" w16cid:durableId="129056322">
    <w:abstractNumId w:val="20"/>
  </w:num>
  <w:num w:numId="31" w16cid:durableId="1682972034">
    <w:abstractNumId w:val="24"/>
  </w:num>
  <w:num w:numId="32" w16cid:durableId="1509324867">
    <w:abstractNumId w:val="18"/>
  </w:num>
  <w:num w:numId="33" w16cid:durableId="966474928">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C1"/>
    <w:rsid w:val="003F72FF"/>
    <w:rsid w:val="00677FC1"/>
    <w:rsid w:val="0090336C"/>
    <w:rsid w:val="00976584"/>
    <w:rsid w:val="00B9456C"/>
    <w:rsid w:val="00C135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D555"/>
  <w15:chartTrackingRefBased/>
  <w15:docId w15:val="{5E66936C-CB23-1748-B054-DF72D0E49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77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77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677FC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677FC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77FC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77FC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77FC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77FC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77FC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77FC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77FC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677FC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677FC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77FC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77FC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77FC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77FC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77FC1"/>
    <w:rPr>
      <w:rFonts w:eastAsiaTheme="majorEastAsia" w:cstheme="majorBidi"/>
      <w:color w:val="272727" w:themeColor="text1" w:themeTint="D8"/>
    </w:rPr>
  </w:style>
  <w:style w:type="paragraph" w:styleId="Titre">
    <w:name w:val="Title"/>
    <w:basedOn w:val="Normal"/>
    <w:next w:val="Normal"/>
    <w:link w:val="TitreCar"/>
    <w:uiPriority w:val="10"/>
    <w:qFormat/>
    <w:rsid w:val="00677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77FC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77FC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77FC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77FC1"/>
    <w:pPr>
      <w:spacing w:before="160"/>
      <w:jc w:val="center"/>
    </w:pPr>
    <w:rPr>
      <w:i/>
      <w:iCs/>
      <w:color w:val="404040" w:themeColor="text1" w:themeTint="BF"/>
    </w:rPr>
  </w:style>
  <w:style w:type="character" w:customStyle="1" w:styleId="CitationCar">
    <w:name w:val="Citation Car"/>
    <w:basedOn w:val="Policepardfaut"/>
    <w:link w:val="Citation"/>
    <w:uiPriority w:val="29"/>
    <w:rsid w:val="00677FC1"/>
    <w:rPr>
      <w:i/>
      <w:iCs/>
      <w:color w:val="404040" w:themeColor="text1" w:themeTint="BF"/>
    </w:rPr>
  </w:style>
  <w:style w:type="paragraph" w:styleId="Paragraphedeliste">
    <w:name w:val="List Paragraph"/>
    <w:basedOn w:val="Normal"/>
    <w:uiPriority w:val="34"/>
    <w:qFormat/>
    <w:rsid w:val="00677FC1"/>
    <w:pPr>
      <w:ind w:left="720"/>
      <w:contextualSpacing/>
    </w:pPr>
  </w:style>
  <w:style w:type="character" w:styleId="Accentuationintense">
    <w:name w:val="Intense Emphasis"/>
    <w:basedOn w:val="Policepardfaut"/>
    <w:uiPriority w:val="21"/>
    <w:qFormat/>
    <w:rsid w:val="00677FC1"/>
    <w:rPr>
      <w:i/>
      <w:iCs/>
      <w:color w:val="0F4761" w:themeColor="accent1" w:themeShade="BF"/>
    </w:rPr>
  </w:style>
  <w:style w:type="paragraph" w:styleId="Citationintense">
    <w:name w:val="Intense Quote"/>
    <w:basedOn w:val="Normal"/>
    <w:next w:val="Normal"/>
    <w:link w:val="CitationintenseCar"/>
    <w:uiPriority w:val="30"/>
    <w:qFormat/>
    <w:rsid w:val="00677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77FC1"/>
    <w:rPr>
      <w:i/>
      <w:iCs/>
      <w:color w:val="0F4761" w:themeColor="accent1" w:themeShade="BF"/>
    </w:rPr>
  </w:style>
  <w:style w:type="character" w:styleId="Rfrenceintense">
    <w:name w:val="Intense Reference"/>
    <w:basedOn w:val="Policepardfaut"/>
    <w:uiPriority w:val="32"/>
    <w:qFormat/>
    <w:rsid w:val="00677FC1"/>
    <w:rPr>
      <w:b/>
      <w:bCs/>
      <w:smallCaps/>
      <w:color w:val="0F4761" w:themeColor="accent1" w:themeShade="BF"/>
      <w:spacing w:val="5"/>
    </w:rPr>
  </w:style>
  <w:style w:type="paragraph" w:customStyle="1" w:styleId="ds-markdown-paragraph">
    <w:name w:val="ds-markdown-paragraph"/>
    <w:basedOn w:val="Normal"/>
    <w:rsid w:val="00677FC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677FC1"/>
    <w:rPr>
      <w:b/>
      <w:bCs/>
    </w:rPr>
  </w:style>
  <w:style w:type="character" w:styleId="Accentuation">
    <w:name w:val="Emphasis"/>
    <w:basedOn w:val="Policepardfaut"/>
    <w:uiPriority w:val="20"/>
    <w:qFormat/>
    <w:rsid w:val="00677F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3226</Words>
  <Characters>19168</Characters>
  <Application>Microsoft Office Word</Application>
  <DocSecurity>0</DocSecurity>
  <Lines>638</Lines>
  <Paragraphs>546</Paragraphs>
  <ScaleCrop>false</ScaleCrop>
  <Company/>
  <LinksUpToDate>false</LinksUpToDate>
  <CharactersWithSpaces>21848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Dayon</dc:creator>
  <cp:keywords/>
  <dc:description/>
  <cp:lastModifiedBy>Gregory Dayon</cp:lastModifiedBy>
  <cp:revision>1</cp:revision>
  <dcterms:created xsi:type="dcterms:W3CDTF">2026-08-24T06:30:00Z</dcterms:created>
  <dcterms:modified xsi:type="dcterms:W3CDTF">2026-08-24T06:30:00Z</dcterms:modified>
</cp:coreProperties>
</file>