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color w:val="182B49"/>
          <w:sz w:val="48"/>
        </w:rPr>
        <w:t>FRANCE ÉQUILIBRE 2032</w:t>
      </w:r>
    </w:p>
    <w:p>
      <w:pPr>
        <w:spacing w:after="280"/>
      </w:pPr>
      <w:r>
        <w:rPr>
          <w:rFonts w:ascii="Calibri" w:hAnsi="Calibri"/>
          <w:i/>
          <w:color w:val="2980B9"/>
          <w:sz w:val="26"/>
        </w:rPr>
        <w:t>Benchmark Macroéconomique &amp; Trajectoires Budgétaires Comparées (2027–2032)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EBF3FA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i/>
                <w:color w:val="182B49"/>
                <w:sz w:val="19"/>
              </w:rPr>
              <w:t>Rapport d'expertise prospective et chiffrage macroéconomique indépendant. Analyse comparative de trois trajectoires budgétaires : Scénario 1 (Équilibre à 0 % en 2032), Scénario 2 (Super-excédent à +10 % du PIB) et Scénario 3 (Désendettement à 100 % du PIB avec excédent soutenable).</w:t>
            </w:r>
          </w:p>
        </w:tc>
      </w:tr>
    </w:tbl>
    <w:p>
      <w:pPr>
        <w:spacing w:after="120"/>
      </w:pPr>
    </w:p>
    <w:p>
      <w:pPr>
        <w:keepNext/>
        <w:spacing w:before="320" w:after="120"/>
      </w:pPr>
      <w:r>
        <w:rPr>
          <w:rFonts w:ascii="Calibri" w:hAnsi="Calibri"/>
          <w:b/>
          <w:color w:val="182B49"/>
          <w:sz w:val="30"/>
        </w:rPr>
        <w:t>1. Diagnostic Macroéconomique et Financier de Départ (2025–2026)</w:t>
      </w:r>
    </w:p>
    <w:p>
      <w:r>
        <w:t>La situation des finances publiques françaises à l'orée de l'exercice 2026 est caractérisée par un déséquilibre structurel profond et une vulnérabilité accrue aux conditions de financement de marché :</w:t>
      </w:r>
    </w:p>
    <w:p>
      <w:pPr>
        <w:pStyle w:val="ListBullet"/>
        <w:spacing w:after="40"/>
      </w:pPr>
      <w:r>
        <w:rPr>
          <w:b/>
        </w:rPr>
        <w:t xml:space="preserve">PIB nominal : </w:t>
      </w:r>
      <w:r>
        <w:t>2 920 Md€ en 2024 (Insee) ; estimé à 3 010 Md€ en 2025 et 3 115 Md€ en 2026 (Direction générale du Trésor / Banque de France).</w:t>
      </w:r>
    </w:p>
    <w:p>
      <w:pPr>
        <w:pStyle w:val="ListBullet"/>
        <w:spacing w:after="40"/>
      </w:pPr>
      <w:r>
        <w:rPr>
          <w:b/>
        </w:rPr>
        <w:t xml:space="preserve">Croissance réelle : </w:t>
      </w:r>
      <w:r>
        <w:t>1,1 % en 2024 (Insee) ; prévision de 0,8 % en 2025 et 1,1 % en 2026.</w:t>
      </w:r>
    </w:p>
    <w:p>
      <w:pPr>
        <w:pStyle w:val="ListBullet"/>
        <w:spacing w:after="40"/>
      </w:pPr>
      <w:r>
        <w:rPr>
          <w:b/>
        </w:rPr>
        <w:t xml:space="preserve">Inflation (IPCH) : </w:t>
      </w:r>
      <w:r>
        <w:t>2,3 % en 2024 ; normalisation projetée à 1,8 % par an sur 2025-2026 (Banque de France / BCE).</w:t>
      </w:r>
    </w:p>
    <w:p>
      <w:pPr>
        <w:pStyle w:val="ListBullet"/>
        <w:spacing w:after="40"/>
      </w:pPr>
      <w:r>
        <w:rPr>
          <w:b/>
        </w:rPr>
        <w:t xml:space="preserve">Dépenses publiques : </w:t>
      </w:r>
      <w:r>
        <w:t>57,0 % du PIB en 2024 (Insee), soit ~1 665 Md€ (1er rang au sein de l'OCDE).</w:t>
      </w:r>
    </w:p>
    <w:p>
      <w:pPr>
        <w:pStyle w:val="ListBullet"/>
        <w:spacing w:after="40"/>
      </w:pPr>
      <w:r>
        <w:rPr>
          <w:b/>
        </w:rPr>
        <w:t xml:space="preserve">Prélèvements obligatoires : </w:t>
      </w:r>
      <w:r>
        <w:t>Taux de PO à 43,5 % du PIB ; recettes publiques totales à 51,2 % du PIB (Insee / Eurostat).</w:t>
      </w:r>
    </w:p>
    <w:p>
      <w:pPr>
        <w:pStyle w:val="ListBullet"/>
        <w:spacing w:after="40"/>
      </w:pPr>
      <w:r>
        <w:rPr>
          <w:b/>
        </w:rPr>
        <w:t xml:space="preserve">Déficit public : </w:t>
      </w:r>
      <w:r>
        <w:t>-5,8 % du PIB en 2024 ; estimé à -5,3 % en 2025 et -4,8 % en 2026 (Cour des comptes / Commission européenne).</w:t>
      </w:r>
    </w:p>
    <w:p>
      <w:pPr>
        <w:pStyle w:val="ListBullet"/>
        <w:spacing w:after="40"/>
      </w:pPr>
      <w:r>
        <w:rPr>
          <w:b/>
        </w:rPr>
        <w:t xml:space="preserve">Dette publique (Maastricht) : </w:t>
      </w:r>
      <w:r>
        <w:t>112,0 % du PIB fin 2024 (3 228 Md€) ; projetée à 114,5 % fin 2026 (~3 567 Md€).</w:t>
      </w:r>
    </w:p>
    <w:p>
      <w:pPr>
        <w:pStyle w:val="ListBullet"/>
        <w:spacing w:after="40"/>
      </w:pPr>
      <w:r>
        <w:rPr>
          <w:b/>
        </w:rPr>
        <w:t xml:space="preserve">Charge d'intérêts : </w:t>
      </w:r>
      <w:r>
        <w:t>55 Md€ en 2024 (1,9 % du PIB), en route vers 68 Md€ d'ici 2027 sous l'effet du renouvellement des souches obligataires (AFT).</w:t>
      </w:r>
    </w:p>
    <w:p>
      <w:pPr>
        <w:pStyle w:val="ListBullet"/>
        <w:spacing w:after="40"/>
      </w:pPr>
      <w:r>
        <w:rPr>
          <w:b/>
        </w:rPr>
        <w:t xml:space="preserve">Postes majeurs de dépenses : </w:t>
      </w:r>
      <w:r>
        <w:t>Retraites à 14,2 % du PIB (~420 Md€, COR) ; Santé à 11,8 % du PIB (~350 Md€, DREES / CNAM) ; Masse salariale publique à 12,3 % du PIB (~365 Md€ pour 5,7 millions d'agents, DGAFP) ; Dépenses locales à 11,5 % du PIB (~340 Md€) ; Aides aux entreprises et niches à ~160 Md€ annuels.</w:t>
      </w:r>
    </w:p>
    <w:p>
      <w:pPr>
        <w:pStyle w:val="ListBullet"/>
        <w:spacing w:after="40"/>
      </w:pPr>
      <w:r>
        <w:rPr>
          <w:b/>
        </w:rPr>
        <w:t xml:space="preserve">Productivité &amp; Emploi : </w:t>
      </w:r>
      <w:r>
        <w:t>Taux d'emploi (15-64 ans) à 68,5 % (moyenne OCDE : 70 %, Allemagne : 77 %) ; chômage à 7,5 % ; volume annuel moyen travaillé parmi les plus bas de l'UE (~1 580 h/an/actif) ; recul de la productivité de 3 % depuis 2019 (France Stratégie).</w:t>
      </w:r>
    </w:p>
    <w:p>
      <w:pPr>
        <w:pStyle w:val="ListBullet"/>
        <w:spacing w:after="40"/>
      </w:pPr>
      <w:r>
        <w:rPr>
          <w:b/>
        </w:rPr>
        <w:t xml:space="preserve">Balance commerciale &amp; R&amp;D : </w:t>
      </w:r>
      <w:r>
        <w:t>Déficit commercial des biens à -82 Md€ en 2024 ; DIRD à 2,18 % du PIB (dont 0,72 % public), en deçà de la cible européenne de 3 % et des concurrents internationaux.</w:t>
      </w:r>
    </w:p>
    <w:p>
      <w:pPr>
        <w:keepNext/>
        <w:spacing w:before="320" w:after="120"/>
      </w:pPr>
      <w:r>
        <w:rPr>
          <w:rFonts w:ascii="Calibri" w:hAnsi="Calibri"/>
          <w:b/>
          <w:color w:val="182B49"/>
          <w:sz w:val="30"/>
        </w:rPr>
        <w:t>2. Cadre d'Analyse et Socle Macroéconomique Central (2027–2032)</w:t>
      </w:r>
    </w:p>
    <w:p>
      <w:r>
        <w:t>La dynamique du ratio dette/PIB (</w:t>
      </w:r>
      <w:r>
        <w:rPr>
          <w:i/>
        </w:rPr>
        <w:t>d_t = D_t / Y_t</w:t>
      </w:r>
      <w:r>
        <w:t>) est régie par l'équation standard des finances publiques :</w:t>
      </w:r>
    </w:p>
    <w:p>
      <w:pPr>
        <w:spacing w:before="80" w:after="80"/>
        <w:jc w:val="center"/>
      </w:pPr>
      <w:r>
        <w:rPr>
          <w:b/>
          <w:color w:val="182B49"/>
        </w:rPr>
        <w:t>d_t - d_(t-1) = - sp_t + d_(t-1) · [(i_t - g_t) / (1 + g_t)] + sf_t</w:t>
      </w:r>
    </w:p>
    <w:p>
      <w:r>
        <w:t xml:space="preserve">Avec : </w:t>
      </w:r>
      <w:r>
        <w:rPr>
          <w:i/>
        </w:rPr>
        <w:t>sp_t</w:t>
      </w:r>
      <w:r>
        <w:t xml:space="preserve"> = solde primaire en % du PIB ; </w:t>
      </w:r>
      <w:r>
        <w:rPr>
          <w:i/>
        </w:rPr>
        <w:t>i_t</w:t>
      </w:r>
      <w:r>
        <w:t xml:space="preserve"> = taux d'intérêt implicite apparent de la dette (2,7 % à 3,2 %) ; </w:t>
      </w:r>
      <w:r>
        <w:rPr>
          <w:i/>
        </w:rPr>
        <w:t>g_t</w:t>
      </w:r>
      <w:r>
        <w:t xml:space="preserve"> = croissance nominale du PIB (croissance réelle γ + inflation π) ; </w:t>
      </w:r>
      <w:r>
        <w:rPr>
          <w:i/>
        </w:rPr>
        <w:t>sf_t</w:t>
      </w:r>
      <w:r>
        <w:t xml:space="preserve"> = ajustement flux-stock.</w:t>
      </w:r>
    </w:p>
    <w:p>
      <w:r>
        <w:rPr>
          <w:b/>
        </w:rPr>
        <w:t xml:space="preserve">Hypothèses macroéconomiques centrales communes : </w:t>
      </w:r>
      <w:r>
        <w:t>Inflation stabilisée à 1,8 %/an ; croissance tendancielle de base à 1,2 %/an (portée à 1,6 %-1,8 % par les réformes de structure) ; taux d'émission OAT 10 ans moyen à 3,0 % (Scénario 1), 2,3 % (Scénario 2) et 2,6 % (Scénario 3).</w:t>
      </w:r>
    </w:p>
    <w:p>
      <w:pPr>
        <w:keepNext/>
        <w:spacing w:before="320" w:after="120"/>
      </w:pPr>
      <w:r>
        <w:rPr>
          <w:rFonts w:ascii="Calibri" w:hAnsi="Calibri"/>
          <w:b/>
          <w:color w:val="182B49"/>
          <w:sz w:val="30"/>
        </w:rPr>
        <w:t>3. Présentation des Trois Trajectoires Budgétaires</w:t>
      </w:r>
    </w:p>
    <w:p>
      <w:pPr>
        <w:keepNext/>
        <w:spacing w:before="240" w:after="80"/>
      </w:pPr>
      <w:r>
        <w:rPr>
          <w:rFonts w:ascii="Calibri" w:hAnsi="Calibri"/>
          <w:b/>
          <w:color w:val="2980B9"/>
          <w:sz w:val="25"/>
        </w:rPr>
        <w:t>Scénario 1 — « ÉQUILIBRE » (Solde public : 0,0 % du PIB en 2032)</w:t>
      </w:r>
    </w:p>
    <w:p>
      <w:r>
        <w:t>Ce scénario vise l'extinction progressive du déficit public d'ici 2032 par une combinaison d'économies structurelles et d'un choc d'offre.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2"/>
        <w:gridCol w:w="1242"/>
        <w:gridCol w:w="1242"/>
        <w:gridCol w:w="1242"/>
        <w:gridCol w:w="1242"/>
        <w:gridCol w:w="1242"/>
        <w:gridCol w:w="1242"/>
        <w:gridCol w:w="1242"/>
      </w:tblGrid>
      <w:tr>
        <w:tc>
          <w:tcPr>
            <w:tcW w:type="dxa" w:w="2880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2026 (Réf.)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2027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2028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2029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2030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2031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2032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Croissance réelle (%)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1,1 %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1,0 %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1,2 %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1,4 %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1,5 %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1,6 %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1,6 %</w:t>
            </w:r>
          </w:p>
        </w:tc>
      </w:tr>
      <w:tr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Inflation (%)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1,8 %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PIB nominal (Md€)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3 115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3 203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3 300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3 406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3 519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3 640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3 765</w:t>
            </w:r>
          </w:p>
        </w:tc>
      </w:tr>
      <w:tr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Dépenses publiques (Md€)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1 738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1 748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1 760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1 780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1 805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1 835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1 875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— en % du PIB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55,8 %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54,6 %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53,3 %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52,3 %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51,3 %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50,4 %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49,8 %</w:t>
            </w:r>
          </w:p>
        </w:tc>
      </w:tr>
      <w:tr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Recettes publiques (Md€)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1 588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1 635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1 685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1 735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1 780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1 825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1 875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— en % du PIB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51,0 %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51,0 %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51,0 %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50,9 %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50,6 %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50,1 %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49,8 %</w:t>
            </w:r>
          </w:p>
        </w:tc>
      </w:tr>
      <w:tr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Solde public (% PIB)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-4,8 %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-3,5 %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-2,3 %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-1,3 %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-0,7 %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-0,3 %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0,0 %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Solde primaire (% PIB)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-2,7 %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-1,3 %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-0,1 %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+0,9 %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+1,4 %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+1,7 %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+1,9 %</w:t>
            </w:r>
          </w:p>
        </w:tc>
      </w:tr>
      <w:tr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Charge intérêts (Md€ / %)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65 / 2,1%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70 / 2,2%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72 / 2,2%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74 / 2,2%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74 / 2,1%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73 / 2,0%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72 / 1,9%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Dette publique (% PIB)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114,5 %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113,8 %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112,0 %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109,8 %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107,0 %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103,8 %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100,5 %</w:t>
            </w:r>
          </w:p>
        </w:tc>
      </w:tr>
      <w:tr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Dette nominale (Md€)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3 567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3 645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3 696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3 740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3 765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3 778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3 784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Investissement R&amp;D (Md€)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22,5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24,0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26,0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28,5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31,5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34,5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38,0</w:t>
            </w:r>
          </w:p>
        </w:tc>
      </w:tr>
    </w:tbl>
    <w:p>
      <w:pPr>
        <w:spacing w:after="80"/>
      </w:pPr>
    </w:p>
    <w:p>
      <w:pPr>
        <w:keepNext/>
        <w:spacing w:before="240" w:after="80"/>
      </w:pPr>
      <w:r>
        <w:rPr>
          <w:rFonts w:ascii="Calibri" w:hAnsi="Calibri"/>
          <w:b/>
          <w:color w:val="2980B9"/>
          <w:sz w:val="25"/>
        </w:rPr>
        <w:t>Scénario 2 — « SUPER-EXCÉDENT » (+10,0 % du PIB en 2032)</w:t>
      </w:r>
    </w:p>
    <w:p>
      <w:r>
        <w:t>L'objectif d'un excédent annuel de +10 % du PIB impose un ajustement budgétaire net de 14,8 points de PIB (~520 Md€). L'analyse démontre qu'une telle contraction entraînerait une spirale déflationniste violente et une destruction de tissu social et économique. Le plafond soutenable réaliste se situe à +2,5 % - +3,0 % du PIB.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2"/>
        <w:gridCol w:w="1242"/>
        <w:gridCol w:w="1242"/>
        <w:gridCol w:w="1242"/>
        <w:gridCol w:w="1242"/>
        <w:gridCol w:w="1242"/>
        <w:gridCol w:w="1242"/>
        <w:gridCol w:w="1242"/>
      </w:tblGrid>
      <w:tr>
        <w:tc>
          <w:tcPr>
            <w:tcW w:type="dxa" w:w="2880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2026 (Réf.)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2027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2028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2029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2030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2031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2032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Croissance réelle (%)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1,1 %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-1,8 %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-1,0 %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+0,2 %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+0,8 %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+1,2 %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+1,5 %</w:t>
            </w:r>
          </w:p>
        </w:tc>
      </w:tr>
      <w:tr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Inflation (%)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0,5 %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0,2 %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0,5 %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0,8 %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1,0 %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1,2 %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PIB nominal (Md€)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3 115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3 074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3 050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3 071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3 120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3 189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3 275</w:t>
            </w:r>
          </w:p>
        </w:tc>
      </w:tr>
      <w:tr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Dépenses publiques (Md€)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1 738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1 550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1 420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1 300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1 200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1 090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985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— en % du PIB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55,8 %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50,4 %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46,5 %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42,3 %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38,4 %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34,2 %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30,1 %</w:t>
            </w:r>
          </w:p>
        </w:tc>
      </w:tr>
      <w:tr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Recettes publiques (Md€)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1 588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1 500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1 450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1 410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1 375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1 345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1 312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— en % du PIB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51,0 %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48,8 %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47,5 %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45,9 %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44,1 %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42,2 %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40,1 %</w:t>
            </w:r>
          </w:p>
        </w:tc>
      </w:tr>
      <w:tr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Solde public (% PIB)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-4,8 %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-1,6 %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+1,0 %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+3,6 %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+5,6 %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+8,0 %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+10,0 %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Dette publique (% PIB)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114,5 %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111,2 %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104,8 %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94,5 %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81,2 %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65,4 %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47,8 %</w:t>
            </w:r>
          </w:p>
        </w:tc>
      </w:tr>
    </w:tbl>
    <w:p>
      <w:pPr>
        <w:spacing w:after="80"/>
      </w:pPr>
    </w:p>
    <w:p>
      <w:pPr>
        <w:keepNext/>
        <w:spacing w:before="240" w:after="80"/>
      </w:pPr>
      <w:r>
        <w:rPr>
          <w:rFonts w:ascii="Calibri" w:hAnsi="Calibri"/>
          <w:b/>
          <w:color w:val="2980B9"/>
          <w:sz w:val="25"/>
        </w:rPr>
        <w:t>Scénario 3 — « DÉSENDETTEMENT À 100 % DU PIB EN 2032 »</w:t>
      </w:r>
    </w:p>
    <w:p>
      <w:r>
        <w:t>Pour ramener le ratio dette/PIB sous le seuil de 100 % (à 96,5 % en 2032) tout en maintenant l'investissement stratégique, le solde public cible en 2032 est fixé à +2,1 % du PIB (soit un excédent primaire de +3,8 % du PIB).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2"/>
        <w:gridCol w:w="1242"/>
        <w:gridCol w:w="1242"/>
        <w:gridCol w:w="1242"/>
        <w:gridCol w:w="1242"/>
        <w:gridCol w:w="1242"/>
        <w:gridCol w:w="1242"/>
        <w:gridCol w:w="1242"/>
      </w:tblGrid>
      <w:tr>
        <w:tc>
          <w:tcPr>
            <w:tcW w:type="dxa" w:w="2880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Indicateur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2026 (Réf.)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2027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2028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2029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2030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2031</w:t>
            </w:r>
          </w:p>
        </w:tc>
        <w:tc>
          <w:tcPr>
            <w:tcW w:type="dxa" w:w="100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2032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Croissance réelle (%)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1,1 %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1,1 %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1,3 %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1,5 %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1,7 %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1,8 %</w:t>
            </w:r>
          </w:p>
        </w:tc>
      </w:tr>
      <w:tr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Inflation (%)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1,8 %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PIB nominal (Md€)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3 115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3 206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3 306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3 415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3 535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3 662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3 794</w:t>
            </w:r>
          </w:p>
        </w:tc>
      </w:tr>
      <w:tr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Dépenses publiques (Md€)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1 738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1 735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1 740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1 750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1 762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1 775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1 790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— en % du PIB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55,8 %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54,1 %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52,6 %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51,2 %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49,8 %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48,5 %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47,2 %</w:t>
            </w:r>
          </w:p>
        </w:tc>
      </w:tr>
      <w:tr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Recettes publiques (Md€)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1 588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1 645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1 700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1 755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1 805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1 840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1 870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— en % du PIB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51,0 %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51,3 %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51,4 %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51,4 %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51,1 %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50,2 %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49,3 %</w:t>
            </w:r>
          </w:p>
        </w:tc>
      </w:tr>
      <w:tr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Solde public (% PIB)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-4,8 %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-2,8 %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-1,2 %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+0,1 %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+1,2 %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+1,8 %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+2,1 %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Solde primaire (% PIB)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-2,7 %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-0,7 %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+0,9 %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+2,1 %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+3,0 %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+3,5 %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+3,8 %</w:t>
            </w:r>
          </w:p>
        </w:tc>
      </w:tr>
      <w:tr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Charge intérêts (Md€ / %)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65 / 2,1%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68 / 2,1%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69 / 2,1%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68 / 2,0%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66 / 1,8%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64 / 1,7%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62 / 1,7%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Dette publique (% PIB)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114,5 %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112,5 %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109,6 %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106,2 %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102,6 %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99,4 %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96,5 %</w:t>
            </w:r>
          </w:p>
        </w:tc>
      </w:tr>
      <w:tr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Dette nominale (Md€)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3 567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3 607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3 623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3 626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3 627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3 640</w:t>
            </w:r>
          </w:p>
        </w:tc>
        <w:tc>
          <w:tcPr>
            <w:tcW w:type="dxa" w:w="100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3 661</w:t>
            </w:r>
          </w:p>
        </w:tc>
      </w:tr>
      <w:tr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Investissement R&amp;D (Md€)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22,5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25,0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28,0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32,0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36,0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40,0</w:t>
            </w:r>
          </w:p>
        </w:tc>
        <w:tc>
          <w:tcPr>
            <w:tcW w:type="dxa" w:w="100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45,0</w:t>
            </w:r>
          </w:p>
        </w:tc>
      </w:tr>
    </w:tbl>
    <w:p>
      <w:pPr>
        <w:spacing w:after="80"/>
      </w:pPr>
    </w:p>
    <w:p>
      <w:pPr>
        <w:keepNext/>
        <w:spacing w:before="320" w:after="120"/>
      </w:pPr>
      <w:r>
        <w:rPr>
          <w:rFonts w:ascii="Calibri" w:hAnsi="Calibri"/>
          <w:b/>
          <w:color w:val="182B49"/>
          <w:sz w:val="30"/>
        </w:rPr>
        <w:t>4. Les 10 Grandes Réformes Structurelles du Programme</w:t>
      </w:r>
    </w:p>
    <w:p>
      <w:pPr>
        <w:pStyle w:val="ListBullet"/>
        <w:spacing w:after="60"/>
      </w:pPr>
      <w:r>
        <w:rPr>
          <w:b/>
        </w:rPr>
        <w:t xml:space="preserve">1. Retraites &amp; Emploi des Seniors (+12 Md€/an) : </w:t>
      </w:r>
      <w:r>
        <w:t>Indexation différenciée (inflation -0,5 pt pour les pensions &gt; 2 000 € pendant 4 ans) ; fermeture des régimes spéciaux résiduels ; bonus-malus sur le maintien en emploi des plus de 58 ans.</w:t>
      </w:r>
    </w:p>
    <w:p>
      <w:pPr>
        <w:pStyle w:val="ListBullet"/>
        <w:spacing w:after="60"/>
      </w:pPr>
      <w:r>
        <w:rPr>
          <w:b/>
        </w:rPr>
        <w:t xml:space="preserve">2. Forfaitisation Santé, IA &amp; Prévention (+10 Md€/an) : </w:t>
      </w:r>
      <w:r>
        <w:t>Paiement au forfait pour les maladies chroniques ; déploiement d'un agent IA d'audit des prescriptions et des doublons d'examens ; baisse concertée des tarifs sur dispositifs médicaux standardisés.</w:t>
      </w:r>
    </w:p>
    <w:p>
      <w:pPr>
        <w:pStyle w:val="ListBullet"/>
        <w:spacing w:after="60"/>
      </w:pPr>
      <w:r>
        <w:rPr>
          <w:b/>
        </w:rPr>
        <w:t xml:space="preserve">3. Fusion Départements / Intercommunalités (+7 Md€/an) : </w:t>
      </w:r>
      <w:r>
        <w:t>Suppression de l'échelon départemental au profit des métropoles et EPCI ; mutualisation des compétences et non-remplacement de 45 000 agents administratifs en doublon.</w:t>
      </w:r>
    </w:p>
    <w:p>
      <w:pPr>
        <w:pStyle w:val="ListBullet"/>
        <w:spacing w:after="60"/>
      </w:pPr>
      <w:r>
        <w:rPr>
          <w:b/>
        </w:rPr>
        <w:t xml:space="preserve">4. Déploiement Numérique et IA dans l'État (+6,5 Md€/an) : </w:t>
      </w:r>
      <w:r>
        <w:t>Automatisation de l'instruction fiscale et sociale, marchés publics assistés par IA, réallocation des postes administratifs vers la justice et la sécurité de proximité.</w:t>
      </w:r>
    </w:p>
    <w:p>
      <w:pPr>
        <w:pStyle w:val="ListBullet"/>
        <w:spacing w:after="60"/>
      </w:pPr>
      <w:r>
        <w:rPr>
          <w:b/>
        </w:rPr>
        <w:t xml:space="preserve">5. Rationalisation des Aides aux Entreprises (+11 Md€/an) : </w:t>
      </w:r>
      <w:r>
        <w:t>Recentrage strict du CIR sur les PME/ETI et partenariats publics ; suppression des subventions d'aubaine sans engagement de création nette d'emplois.</w:t>
      </w:r>
    </w:p>
    <w:p>
      <w:pPr>
        <w:pStyle w:val="ListBullet"/>
        <w:spacing w:after="60"/>
      </w:pPr>
      <w:r>
        <w:rPr>
          <w:b/>
        </w:rPr>
        <w:t xml:space="preserve">6. Choc d'Offre Logement &amp; Réforme APL (+4,5 Md€/an) : </w:t>
      </w:r>
      <w:r>
        <w:t>Plafonnement des recours d'urbanisme à 6 mois ; libération de foncier public ; recentrage du zonage APL aligné sur les coûts réels des baux.</w:t>
      </w:r>
    </w:p>
    <w:p>
      <w:pPr>
        <w:pStyle w:val="ListBullet"/>
        <w:spacing w:after="60"/>
      </w:pPr>
      <w:r>
        <w:rPr>
          <w:b/>
        </w:rPr>
        <w:t xml:space="preserve">7. Allocation Sociale Unique - ASU (+3,5 Md€/an net) : </w:t>
      </w:r>
      <w:r>
        <w:t>Fusion RSA + Prime d'activité + APL en un versement unique automatisé avec obligation de 15 h hebdomadaires d'activité/formation ; éradication du non-recours et des effets de seuil.</w:t>
      </w:r>
    </w:p>
    <w:p>
      <w:pPr>
        <w:pStyle w:val="ListBullet"/>
        <w:spacing w:after="60"/>
      </w:pPr>
      <w:r>
        <w:rPr>
          <w:b/>
        </w:rPr>
        <w:t xml:space="preserve">8. Temps de Travail Effectif &amp; Flexibilité (+4 Md€/an) : </w:t>
      </w:r>
      <w:r>
        <w:t>Rachat défiscalisé de RTT dans les secteurs en pénurie ; respect effectif des 1 607 heures annuelles dans l'ensemble des trois versants de la fonction publique.</w:t>
      </w:r>
    </w:p>
    <w:p>
      <w:pPr>
        <w:pStyle w:val="ListBullet"/>
        <w:spacing w:after="60"/>
      </w:pPr>
      <w:r>
        <w:rPr>
          <w:b/>
        </w:rPr>
        <w:t xml:space="preserve">9. Réforme du CPF &amp; Formation Continue (+2,5 Md€/an) : </w:t>
      </w:r>
      <w:r>
        <w:t>Concentration des financements CPF sur les métiers en tension et technologies critiques (IA, usine 4.0, santé) avec reste à charge ou cofinancement employeur.</w:t>
      </w:r>
    </w:p>
    <w:p>
      <w:pPr>
        <w:pStyle w:val="ListBullet"/>
        <w:spacing w:after="60"/>
      </w:pPr>
      <w:r>
        <w:rPr>
          <w:b/>
        </w:rPr>
        <w:t xml:space="preserve">10. Budget Stratégique d'Innovation &amp; Réindustrialisation (-15,5 Md€/an réinvestis) : </w:t>
      </w:r>
      <w:r>
        <w:t>Injection de 45 Md€/an au total en 2032 dans 7 filières stratégiques sous gouvernance stricte de rentabilité.</w:t>
      </w:r>
    </w:p>
    <w:p>
      <w:pPr>
        <w:keepNext/>
        <w:spacing w:before="320" w:after="120"/>
      </w:pPr>
      <w:r>
        <w:rPr>
          <w:rFonts w:ascii="Calibri" w:hAnsi="Calibri"/>
          <w:b/>
          <w:color w:val="182B49"/>
          <w:sz w:val="30"/>
        </w:rPr>
        <w:t>5. Budget Stratégique R&amp;D et Technologies Critiques 2032</w:t>
      </w:r>
    </w:p>
    <w:p>
      <w:r>
        <w:t>L'objectif est de hisser la dépense intérieure de R&amp;D (DIRD) de 2,18 % à 3,20 % du PIB d'ici 2032 (~120 Md€ public-privé). Le tableau ci-dessous détaille la ventilation des 45 Md€/an de financements publics stratégiques 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2592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Domaine Technologique</w:t>
            </w:r>
          </w:p>
        </w:tc>
        <w:tc>
          <w:tcPr>
            <w:tcW w:type="dxa" w:w="1152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Budget 2026</w:t>
            </w:r>
          </w:p>
        </w:tc>
        <w:tc>
          <w:tcPr>
            <w:tcW w:type="dxa" w:w="1152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Budget 2032</w:t>
            </w:r>
          </w:p>
        </w:tc>
        <w:tc>
          <w:tcPr>
            <w:tcW w:type="dxa" w:w="2880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Objectif &amp; KPI Clé</w:t>
            </w:r>
          </w:p>
        </w:tc>
        <w:tc>
          <w:tcPr>
            <w:tcW w:type="dxa" w:w="2160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Condition d'Arrêt / Pivot</w:t>
            </w:r>
          </w:p>
        </w:tc>
      </w:tr>
      <w:tr>
        <w:tc>
          <w:tcPr>
            <w:tcW w:type="dxa" w:w="259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Intelligence Artificielle &amp; Calcul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1,2 Md€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7,5 Md€</w:t>
            </w:r>
          </w:p>
        </w:tc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supercalculateurs exaflopiques ; 50 000 ingénieurs/an</w:t>
            </w:r>
          </w:p>
        </w:tc>
        <w:tc>
          <w:tcPr>
            <w:tcW w:type="dxa" w:w="216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Absence d'adoption industrielle à 3 ans</w:t>
            </w:r>
          </w:p>
        </w:tc>
      </w:tr>
      <w:tr>
        <w:tc>
          <w:tcPr>
            <w:tcW w:type="dxa" w:w="259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Énergie Nucléaire (SMR &amp; Fusion)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2,5 Md€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9,0 Md€</w:t>
            </w:r>
          </w:p>
        </w:tc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Tête de série SMR opérationnelle ; prolongation à 60 ans</w:t>
            </w:r>
          </w:p>
        </w:tc>
        <w:tc>
          <w:tcPr>
            <w:tcW w:type="dxa" w:w="216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Dépassement budgétaire &gt; 30 % sur SMR</w:t>
            </w:r>
          </w:p>
        </w:tc>
      </w:tr>
      <w:tr>
        <w:tc>
          <w:tcPr>
            <w:tcW w:type="dxa" w:w="259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Robotique &amp; Automatisation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0,4 Md€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4,0 Md€</w:t>
            </w:r>
          </w:p>
        </w:tc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Densité robotique portée à 350 robots / 10 000 employés</w:t>
            </w:r>
          </w:p>
        </w:tc>
        <w:tc>
          <w:tcPr>
            <w:tcW w:type="dxa" w:w="216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Échec d'intégration dans les filières PME</w:t>
            </w:r>
          </w:p>
        </w:tc>
      </w:tr>
      <w:tr>
        <w:tc>
          <w:tcPr>
            <w:tcW w:type="dxa" w:w="259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Semi-conducteurs &amp; Matériaux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1,5 Md€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5,5 Md€</w:t>
            </w:r>
          </w:p>
        </w:tc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Packaging avancé souverain et puces &lt; 5 nm en UE</w:t>
            </w:r>
          </w:p>
        </w:tc>
        <w:tc>
          <w:tcPr>
            <w:tcW w:type="dxa" w:w="216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Absence de co-financement privé &gt;= 50 %</w:t>
            </w:r>
          </w:p>
        </w:tc>
      </w:tr>
      <w:tr>
        <w:tc>
          <w:tcPr>
            <w:tcW w:type="dxa" w:w="259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Biotechnologies &amp; Santé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1,8 Md€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6,0 Md€</w:t>
            </w:r>
          </w:p>
        </w:tc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30 % des biomédicaments produits sur le sol national</w:t>
            </w:r>
          </w:p>
        </w:tc>
        <w:tc>
          <w:tcPr>
            <w:tcW w:type="dxa" w:w="216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Absence de licence industrielle sous 4 ans</w:t>
            </w:r>
          </w:p>
        </w:tc>
      </w:tr>
      <w:tr>
        <w:tc>
          <w:tcPr>
            <w:tcW w:type="dxa" w:w="259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Défense, Drones &amp; Espace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4,5 Md€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10,0 Md€</w:t>
            </w:r>
          </w:p>
        </w:tc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Souveraineté sur essaims de drones et constellations LEO</w:t>
            </w:r>
          </w:p>
        </w:tc>
        <w:tc>
          <w:tcPr>
            <w:tcW w:type="dxa" w:w="216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Non-interopérabilité européenne constatée</w:t>
            </w:r>
          </w:p>
        </w:tc>
      </w:tr>
      <w:tr>
        <w:tc>
          <w:tcPr>
            <w:tcW w:type="dxa" w:w="259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Quantique &amp; Capteurs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0,3 Md€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3,0 Md€</w:t>
            </w:r>
          </w:p>
        </w:tc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Premier processeur 1 000 qubits fiabilisé</w:t>
            </w:r>
          </w:p>
        </w:tc>
        <w:tc>
          <w:tcPr>
            <w:tcW w:type="dxa" w:w="216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Absence de brevets critiques face aux tiers</w:t>
            </w:r>
          </w:p>
        </w:tc>
      </w:tr>
    </w:tbl>
    <w:p>
      <w:pPr>
        <w:spacing w:after="80"/>
      </w:pPr>
    </w:p>
    <w:p>
      <w:pPr>
        <w:keepNext/>
        <w:spacing w:before="320" w:after="120"/>
      </w:pPr>
      <w:r>
        <w:rPr>
          <w:rFonts w:ascii="Calibri" w:hAnsi="Calibri"/>
          <w:b/>
          <w:color w:val="182B49"/>
          <w:sz w:val="30"/>
        </w:rPr>
        <w:t>6. Intégration de l'IA dans l'Administration Publique</w:t>
      </w:r>
    </w:p>
    <w:p>
      <w:r>
        <w:t>L'incorporation de l'intelligence artificielle est décomposée en trois niveaux de certitude comptable :</w:t>
      </w:r>
    </w:p>
    <w:p>
      <w:pPr>
        <w:pStyle w:val="ListBullet"/>
        <w:spacing w:after="40"/>
      </w:pPr>
      <w:r>
        <w:rPr>
          <w:b/>
        </w:rPr>
        <w:t xml:space="preserve">Économies directement démontrables (+6,5 Md€/an) : </w:t>
      </w:r>
      <w:r>
        <w:t>Détection algorithmique de la fraude fiscale et sociale transfrontalière (+4,5 Md€) ; optimisation de la centrale d'achats publics de l'État et des hôpitaux (+2,0 Md€).</w:t>
      </w:r>
    </w:p>
    <w:p>
      <w:pPr>
        <w:pStyle w:val="ListBullet"/>
        <w:spacing w:after="40"/>
      </w:pPr>
      <w:r>
        <w:rPr>
          <w:b/>
        </w:rPr>
        <w:t xml:space="preserve">Économies plausibles (+5,5 Md€/an) : </w:t>
      </w:r>
      <w:r>
        <w:t>Automatisation des procédures d'instruction et requêtes citoyennes de premier niveau permettant le non-remplacement ciblé de 35 000 postes administratifs départs retraite.</w:t>
      </w:r>
    </w:p>
    <w:p>
      <w:pPr>
        <w:pStyle w:val="ListBullet"/>
        <w:spacing w:after="40"/>
      </w:pPr>
      <w:r>
        <w:rPr>
          <w:b/>
        </w:rPr>
        <w:t xml:space="preserve">Potentiel théorique (+2,5 Md€/an - non engagé) : </w:t>
      </w:r>
      <w:r>
        <w:t>Optimisation prédictive des flux hospitaliers et régulation de la charge d'infrastructure.</w:t>
      </w:r>
    </w:p>
    <w:p>
      <w:pPr>
        <w:keepNext/>
        <w:spacing w:before="320" w:after="120"/>
      </w:pPr>
      <w:r>
        <w:rPr>
          <w:rFonts w:ascii="Calibri" w:hAnsi="Calibri"/>
          <w:b/>
          <w:color w:val="182B49"/>
          <w:sz w:val="30"/>
        </w:rPr>
        <w:t>7. Stress Tests et Analyse de Résilience Budgétaire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160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Choc Macroéconomique</w:t>
            </w:r>
          </w:p>
        </w:tc>
        <w:tc>
          <w:tcPr>
            <w:tcW w:type="dxa" w:w="2592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Paramètres du Choc</w:t>
            </w:r>
          </w:p>
        </w:tc>
        <w:tc>
          <w:tcPr>
            <w:tcW w:type="dxa" w:w="2160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Impact Brut Solde / Dette</w:t>
            </w:r>
          </w:p>
        </w:tc>
        <w:tc>
          <w:tcPr>
            <w:tcW w:type="dxa" w:w="2880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Mesure Corrective Automatique</w:t>
            </w:r>
          </w:p>
        </w:tc>
      </w:tr>
      <w:tr>
        <w:tc>
          <w:tcPr>
            <w:tcW w:type="dxa" w:w="216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1. Récession</w:t>
            </w:r>
          </w:p>
        </w:tc>
        <w:tc>
          <w:tcPr>
            <w:tcW w:type="dxa" w:w="259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Croissance -1,0 pt en 2028 et 2029</w:t>
            </w:r>
          </w:p>
        </w:tc>
        <w:tc>
          <w:tcPr>
            <w:tcW w:type="dxa" w:w="216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Solde : -1,4 pt PIB</w:t>
              <w:br/>
              <w:t>Dette : +5,2 pts PIB</w:t>
            </w:r>
          </w:p>
        </w:tc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Gel des indexations fiscales ; décalage des allègements de production</w:t>
            </w:r>
          </w:p>
        </w:tc>
      </w:tr>
      <w:tr>
        <w:tc>
          <w:tcPr>
            <w:tcW w:type="dxa" w:w="216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2. Choc de Taux</w:t>
            </w:r>
          </w:p>
        </w:tc>
        <w:tc>
          <w:tcPr>
            <w:tcW w:type="dxa" w:w="259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OAT 10 ans +100 bps (4,0 %)</w:t>
            </w:r>
          </w:p>
        </w:tc>
        <w:tc>
          <w:tcPr>
            <w:tcW w:type="dxa" w:w="216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Charge dette : +12 Md€/an</w:t>
              <w:br/>
              <w:t>(+0,3 pt PIB)</w:t>
            </w:r>
          </w:p>
        </w:tc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Allongement maturité / émission court terme ; cessions d'actifs cotés</w:t>
            </w:r>
          </w:p>
        </w:tc>
      </w:tr>
      <w:tr>
        <w:tc>
          <w:tcPr>
            <w:tcW w:type="dxa" w:w="216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3. Crise Énergie</w:t>
            </w:r>
          </w:p>
        </w:tc>
        <w:tc>
          <w:tcPr>
            <w:tcW w:type="dxa" w:w="259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Hausse +40 % gaz/pétrole sur 2 ans</w:t>
            </w:r>
          </w:p>
        </w:tc>
        <w:tc>
          <w:tcPr>
            <w:tcW w:type="dxa" w:w="216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Prélèvement externe 1,2 pt</w:t>
            </w:r>
          </w:p>
        </w:tc>
        <w:tc>
          <w:tcPr>
            <w:tcW w:type="dxa" w:w="288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Ciblage au 2e décile ; taxation rente inframarginale des producteurs</w:t>
            </w:r>
          </w:p>
        </w:tc>
      </w:tr>
      <w:tr>
        <w:tc>
          <w:tcPr>
            <w:tcW w:type="dxa" w:w="216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4. Crise Géopolitique</w:t>
            </w:r>
          </w:p>
        </w:tc>
        <w:tc>
          <w:tcPr>
            <w:tcW w:type="dxa" w:w="259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Défense portée à 3,0 % PIB</w:t>
            </w:r>
          </w:p>
        </w:tc>
        <w:tc>
          <w:tcPr>
            <w:tcW w:type="dxa" w:w="216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Solde : -0,4 pt PIB/an</w:t>
            </w:r>
          </w:p>
        </w:tc>
        <w:tc>
          <w:tcPr>
            <w:tcW w:type="dxa" w:w="288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Surtaxe temporaire successions élevées ; report projets non urgents</w:t>
            </w:r>
          </w:p>
        </w:tc>
      </w:tr>
    </w:tbl>
    <w:p>
      <w:pPr>
        <w:spacing w:after="80"/>
      </w:pPr>
    </w:p>
    <w:p>
      <w:pPr>
        <w:keepNext/>
        <w:spacing w:before="320" w:after="120"/>
      </w:pPr>
      <w:r>
        <w:rPr>
          <w:rFonts w:ascii="Calibri" w:hAnsi="Calibri"/>
          <w:b/>
          <w:color w:val="182B49"/>
          <w:sz w:val="30"/>
        </w:rPr>
        <w:t>8. Matrice d'Arbitrage et Notation des 10 Réformes Clés</w:t>
      </w:r>
    </w:p>
    <w:p>
      <w:r>
        <w:t>Évaluation multidimensionnelle notée sur 10 (10 représentant l'impact maximal ou la difficulté maximale) 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c>
          <w:tcPr>
            <w:tcW w:type="dxa" w:w="316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Réforme Clé</w:t>
            </w:r>
          </w:p>
        </w:tc>
        <w:tc>
          <w:tcPr>
            <w:tcW w:type="dxa" w:w="1152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Impact Budg.</w:t>
            </w:r>
          </w:p>
        </w:tc>
        <w:tc>
          <w:tcPr>
            <w:tcW w:type="dxa" w:w="1152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Impact Croiss.</w:t>
            </w:r>
          </w:p>
        </w:tc>
        <w:tc>
          <w:tcPr>
            <w:tcW w:type="dxa" w:w="1152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Impact Social</w:t>
            </w:r>
          </w:p>
        </w:tc>
        <w:tc>
          <w:tcPr>
            <w:tcW w:type="dxa" w:w="1152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Diff. Polit.</w:t>
            </w:r>
          </w:p>
        </w:tc>
        <w:tc>
          <w:tcPr>
            <w:tcW w:type="dxa" w:w="864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Délai</w:t>
            </w:r>
          </w:p>
        </w:tc>
        <w:tc>
          <w:tcPr>
            <w:tcW w:type="dxa" w:w="1584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Ratio Efficacité</w:t>
            </w:r>
          </w:p>
        </w:tc>
      </w:tr>
      <w:tr>
        <w:tc>
          <w:tcPr>
            <w:tcW w:type="dxa" w:w="316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1. Revue Aides Entreprises (11 Md€)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8/10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7/10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6/10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7/10</w:t>
            </w:r>
          </w:p>
        </w:tc>
        <w:tc>
          <w:tcPr>
            <w:tcW w:type="dxa" w:w="864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2 ans</w:t>
            </w:r>
          </w:p>
        </w:tc>
        <w:tc>
          <w:tcPr>
            <w:tcW w:type="dxa" w:w="1584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1,25 (Rang 1)</w:t>
            </w:r>
          </w:p>
        </w:tc>
      </w:tr>
      <w:tr>
        <w:tc>
          <w:tcPr>
            <w:tcW w:type="dxa" w:w="316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2. IA Anti-Fraude &amp; Achats (12 Md€)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8/10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8/10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7/10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4/10</w:t>
            </w:r>
          </w:p>
        </w:tc>
        <w:tc>
          <w:tcPr>
            <w:tcW w:type="dxa" w:w="864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2 ans</w:t>
            </w:r>
          </w:p>
        </w:tc>
        <w:tc>
          <w:tcPr>
            <w:tcW w:type="dxa" w:w="1584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2,10 (Rang 2)</w:t>
            </w:r>
          </w:p>
        </w:tc>
      </w:tr>
      <w:tr>
        <w:tc>
          <w:tcPr>
            <w:tcW w:type="dxa" w:w="316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3. Fusion Départements/EPCI (7 Md€)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6/10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6/10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5/10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9/10</w:t>
            </w:r>
          </w:p>
        </w:tc>
        <w:tc>
          <w:tcPr>
            <w:tcW w:type="dxa" w:w="864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 ans</w:t>
            </w:r>
          </w:p>
        </w:tc>
        <w:tc>
          <w:tcPr>
            <w:tcW w:type="dxa" w:w="1584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0,85 (Rang 6)</w:t>
            </w:r>
          </w:p>
        </w:tc>
      </w:tr>
      <w:tr>
        <w:tc>
          <w:tcPr>
            <w:tcW w:type="dxa" w:w="316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4. Indexation Retraites (12 Md€)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9/10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5/10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3/10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9/10</w:t>
            </w:r>
          </w:p>
        </w:tc>
        <w:tc>
          <w:tcPr>
            <w:tcW w:type="dxa" w:w="864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an</w:t>
            </w:r>
          </w:p>
        </w:tc>
        <w:tc>
          <w:tcPr>
            <w:tcW w:type="dxa" w:w="1584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1,05 (Rang 3)</w:t>
            </w:r>
          </w:p>
        </w:tc>
      </w:tr>
      <w:tr>
        <w:tc>
          <w:tcPr>
            <w:tcW w:type="dxa" w:w="316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5. Allocation Sociale Unique (3,5 Md€)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5/10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8/10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8/10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6/10</w:t>
            </w:r>
          </w:p>
        </w:tc>
        <w:tc>
          <w:tcPr>
            <w:tcW w:type="dxa" w:w="864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ans</w:t>
            </w:r>
          </w:p>
        </w:tc>
        <w:tc>
          <w:tcPr>
            <w:tcW w:type="dxa" w:w="1584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1,40 (Rang 4)</w:t>
            </w:r>
          </w:p>
        </w:tc>
      </w:tr>
      <w:tr>
        <w:tc>
          <w:tcPr>
            <w:tcW w:type="dxa" w:w="316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6. Suppression C3S (6 Md€)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6/10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9/10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6/10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5/10</w:t>
            </w:r>
          </w:p>
        </w:tc>
        <w:tc>
          <w:tcPr>
            <w:tcW w:type="dxa" w:w="864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2 ans</w:t>
            </w:r>
          </w:p>
        </w:tc>
        <w:tc>
          <w:tcPr>
            <w:tcW w:type="dxa" w:w="1584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1,65 (Rang 5)</w:t>
            </w:r>
          </w:p>
        </w:tc>
      </w:tr>
      <w:tr>
        <w:tc>
          <w:tcPr>
            <w:tcW w:type="dxa" w:w="316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7. Forfaitisation Santé (10 Md€)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7/10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6/10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7/10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7/10</w:t>
            </w:r>
          </w:p>
        </w:tc>
        <w:tc>
          <w:tcPr>
            <w:tcW w:type="dxa" w:w="864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ans</w:t>
            </w:r>
          </w:p>
        </w:tc>
        <w:tc>
          <w:tcPr>
            <w:tcW w:type="dxa" w:w="1584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1,20 (Rang 7)</w:t>
            </w:r>
          </w:p>
        </w:tc>
      </w:tr>
      <w:tr>
        <w:tc>
          <w:tcPr>
            <w:tcW w:type="dxa" w:w="316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8. Aménagement RTT / Travail (4 Md€)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5/10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8/10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4/10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8/10</w:t>
            </w:r>
          </w:p>
        </w:tc>
        <w:tc>
          <w:tcPr>
            <w:tcW w:type="dxa" w:w="864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 an</w:t>
            </w:r>
          </w:p>
        </w:tc>
        <w:tc>
          <w:tcPr>
            <w:tcW w:type="dxa" w:w="1584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1,00 (Rang 8)</w:t>
            </w:r>
          </w:p>
        </w:tc>
      </w:tr>
      <w:tr>
        <w:tc>
          <w:tcPr>
            <w:tcW w:type="dxa" w:w="316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9. Dérégulation Logement (4,5 Md€)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6/10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8/10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7/10</w:t>
            </w:r>
          </w:p>
        </w:tc>
        <w:tc>
          <w:tcPr>
            <w:tcW w:type="dxa" w:w="1152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6/10</w:t>
            </w:r>
          </w:p>
        </w:tc>
        <w:tc>
          <w:tcPr>
            <w:tcW w:type="dxa" w:w="864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3 ans</w:t>
            </w:r>
          </w:p>
        </w:tc>
        <w:tc>
          <w:tcPr>
            <w:tcW w:type="dxa" w:w="1584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1,50 (Rang 9)</w:t>
            </w:r>
          </w:p>
        </w:tc>
      </w:tr>
      <w:tr>
        <w:tc>
          <w:tcPr>
            <w:tcW w:type="dxa" w:w="316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10. Ciblage CPF Technologies (2,5 Md€)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4/10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7/10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6/10</w:t>
            </w:r>
          </w:p>
        </w:tc>
        <w:tc>
          <w:tcPr>
            <w:tcW w:type="dxa" w:w="1152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5/10</w:t>
            </w:r>
          </w:p>
        </w:tc>
        <w:tc>
          <w:tcPr>
            <w:tcW w:type="dxa" w:w="864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2 ans</w:t>
            </w:r>
          </w:p>
        </w:tc>
        <w:tc>
          <w:tcPr>
            <w:tcW w:type="dxa" w:w="1584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pPr>
              <w:jc w:val="right"/>
            </w:pPr>
            <w:r>
              <w:rPr>
                <w:rFonts w:ascii="Calibri" w:hAnsi="Calibri"/>
                <w:color w:val="2C3E50"/>
                <w:sz w:val="18"/>
              </w:rPr>
              <w:t>1,35 (Rang 10)</w:t>
            </w:r>
          </w:p>
        </w:tc>
      </w:tr>
    </w:tbl>
    <w:p>
      <w:pPr>
        <w:spacing w:after="80"/>
      </w:pPr>
    </w:p>
    <w:p>
      <w:pPr>
        <w:keepNext/>
        <w:spacing w:before="320" w:after="120"/>
      </w:pPr>
      <w:r>
        <w:rPr>
          <w:rFonts w:ascii="Calibri" w:hAnsi="Calibri"/>
          <w:b/>
          <w:color w:val="182B49"/>
          <w:sz w:val="30"/>
        </w:rPr>
        <w:t>9. Synthèse Comparative des 3 Scénarios et Verdict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316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Paramètre Clé</w:t>
            </w:r>
          </w:p>
        </w:tc>
        <w:tc>
          <w:tcPr>
            <w:tcW w:type="dxa" w:w="2160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Scénario 1 : Équilibre</w:t>
            </w:r>
          </w:p>
        </w:tc>
        <w:tc>
          <w:tcPr>
            <w:tcW w:type="dxa" w:w="2304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Scénario 2 : Super-Excédent</w:t>
            </w:r>
          </w:p>
        </w:tc>
        <w:tc>
          <w:tcPr>
            <w:tcW w:type="dxa" w:w="2448"/>
            <w:shd w:val="clear" w:color="auto" w:fill="182B49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19"/>
              </w:rPr>
              <w:t>Scénario 3 : Désendettement 100 %</w:t>
            </w:r>
          </w:p>
        </w:tc>
      </w:tr>
      <w:tr>
        <w:tc>
          <w:tcPr>
            <w:tcW w:type="dxa" w:w="316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Solde public 2032 (% PIB)</w:t>
            </w:r>
          </w:p>
        </w:tc>
        <w:tc>
          <w:tcPr>
            <w:tcW w:type="dxa" w:w="216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0,0 %</w:t>
            </w:r>
          </w:p>
        </w:tc>
        <w:tc>
          <w:tcPr>
            <w:tcW w:type="dxa" w:w="2304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+10,0 %</w:t>
            </w:r>
          </w:p>
        </w:tc>
        <w:tc>
          <w:tcPr>
            <w:tcW w:type="dxa" w:w="244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+2,1 %</w:t>
            </w:r>
          </w:p>
        </w:tc>
      </w:tr>
      <w:tr>
        <w:tc>
          <w:tcPr>
            <w:tcW w:type="dxa" w:w="316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Dette publique 2032 (% PIB)</w:t>
            </w:r>
          </w:p>
        </w:tc>
        <w:tc>
          <w:tcPr>
            <w:tcW w:type="dxa" w:w="216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100,5 %</w:t>
            </w:r>
          </w:p>
        </w:tc>
        <w:tc>
          <w:tcPr>
            <w:tcW w:type="dxa" w:w="2304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47,8 %</w:t>
            </w:r>
          </w:p>
        </w:tc>
        <w:tc>
          <w:tcPr>
            <w:tcW w:type="dxa" w:w="244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96,5 %</w:t>
            </w:r>
          </w:p>
        </w:tc>
      </w:tr>
      <w:tr>
        <w:tc>
          <w:tcPr>
            <w:tcW w:type="dxa" w:w="316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Dépenses publiques 2032 (% PIB)</w:t>
            </w:r>
          </w:p>
        </w:tc>
        <w:tc>
          <w:tcPr>
            <w:tcW w:type="dxa" w:w="216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49,8 %</w:t>
            </w:r>
          </w:p>
        </w:tc>
        <w:tc>
          <w:tcPr>
            <w:tcW w:type="dxa" w:w="2304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30,1 %</w:t>
            </w:r>
          </w:p>
        </w:tc>
        <w:tc>
          <w:tcPr>
            <w:tcW w:type="dxa" w:w="244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47,2 %</w:t>
            </w:r>
          </w:p>
        </w:tc>
      </w:tr>
      <w:tr>
        <w:tc>
          <w:tcPr>
            <w:tcW w:type="dxa" w:w="316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Recettes publiques 2032 (% PIB)</w:t>
            </w:r>
          </w:p>
        </w:tc>
        <w:tc>
          <w:tcPr>
            <w:tcW w:type="dxa" w:w="216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49,8 %</w:t>
            </w:r>
          </w:p>
        </w:tc>
        <w:tc>
          <w:tcPr>
            <w:tcW w:type="dxa" w:w="2304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40,1 %</w:t>
            </w:r>
          </w:p>
        </w:tc>
        <w:tc>
          <w:tcPr>
            <w:tcW w:type="dxa" w:w="244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49,3 %</w:t>
            </w:r>
          </w:p>
        </w:tc>
      </w:tr>
      <w:tr>
        <w:tc>
          <w:tcPr>
            <w:tcW w:type="dxa" w:w="316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Croissance potentielle 2032</w:t>
            </w:r>
          </w:p>
        </w:tc>
        <w:tc>
          <w:tcPr>
            <w:tcW w:type="dxa" w:w="216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+1,6 % / an</w:t>
            </w:r>
          </w:p>
        </w:tc>
        <w:tc>
          <w:tcPr>
            <w:tcW w:type="dxa" w:w="2304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-0,5 % (récession induite)</w:t>
            </w:r>
          </w:p>
        </w:tc>
        <w:tc>
          <w:tcPr>
            <w:tcW w:type="dxa" w:w="244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+1,8 % / an</w:t>
            </w:r>
          </w:p>
        </w:tc>
      </w:tr>
      <w:tr>
        <w:tc>
          <w:tcPr>
            <w:tcW w:type="dxa" w:w="316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Taux d'emploi visé (15-64 ans)</w:t>
            </w:r>
          </w:p>
        </w:tc>
        <w:tc>
          <w:tcPr>
            <w:tcW w:type="dxa" w:w="216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72,5 %</w:t>
            </w:r>
          </w:p>
        </w:tc>
        <w:tc>
          <w:tcPr>
            <w:tcW w:type="dxa" w:w="2304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64,0 %</w:t>
            </w:r>
          </w:p>
        </w:tc>
        <w:tc>
          <w:tcPr>
            <w:tcW w:type="dxa" w:w="244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73,2 %</w:t>
            </w:r>
          </w:p>
        </w:tc>
      </w:tr>
      <w:tr>
        <w:tc>
          <w:tcPr>
            <w:tcW w:type="dxa" w:w="316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b/>
                <w:color w:val="2C3E50"/>
                <w:sz w:val="18"/>
              </w:rPr>
              <w:t>Budget R&amp;D / Innovation (% PIB)</w:t>
            </w:r>
          </w:p>
        </w:tc>
        <w:tc>
          <w:tcPr>
            <w:tcW w:type="dxa" w:w="216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3,0 %</w:t>
            </w:r>
          </w:p>
        </w:tc>
        <w:tc>
          <w:tcPr>
            <w:tcW w:type="dxa" w:w="2304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1,5 % (sacrifié)</w:t>
            </w:r>
          </w:p>
        </w:tc>
        <w:tc>
          <w:tcPr>
            <w:tcW w:type="dxa" w:w="244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3,2 %</w:t>
            </w:r>
          </w:p>
        </w:tc>
      </w:tr>
      <w:tr>
        <w:tc>
          <w:tcPr>
            <w:tcW w:type="dxa" w:w="316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Faisabilité administrative</w:t>
            </w:r>
          </w:p>
        </w:tc>
        <w:tc>
          <w:tcPr>
            <w:tcW w:type="dxa" w:w="2160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Élevée</w:t>
            </w:r>
          </w:p>
        </w:tc>
        <w:tc>
          <w:tcPr>
            <w:tcW w:type="dxa" w:w="2304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Quasi-nulle (rupture)</w:t>
            </w:r>
          </w:p>
        </w:tc>
        <w:tc>
          <w:tcPr>
            <w:tcW w:type="dxa" w:w="2448"/>
            <w:shd w:val="clear" w:color="auto" w:fill="F4F6F9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Robuste</w:t>
            </w:r>
          </w:p>
        </w:tc>
      </w:tr>
      <w:tr>
        <w:tc>
          <w:tcPr>
            <w:tcW w:type="dxa" w:w="316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Acceptabilité politique / sociale</w:t>
            </w:r>
          </w:p>
        </w:tc>
        <w:tc>
          <w:tcPr>
            <w:tcW w:type="dxa" w:w="2160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Modérée / Exigeante</w:t>
            </w:r>
          </w:p>
        </w:tc>
        <w:tc>
          <w:tcPr>
            <w:tcW w:type="dxa" w:w="2304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Nulle (blocage institutionnel)</w:t>
            </w:r>
          </w:p>
        </w:tc>
        <w:tc>
          <w:tcPr>
            <w:tcW w:type="dxa" w:w="2448"/>
            <w:shd w:val="clear" w:color="auto"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Calibri" w:hAnsi="Calibri"/>
                <w:color w:val="2C3E50"/>
                <w:sz w:val="18"/>
              </w:rPr>
              <w:t>Équilibrée par contreparties</w:t>
            </w:r>
          </w:p>
        </w:tc>
      </w:tr>
    </w:tbl>
    <w:p>
      <w:pPr>
        <w:spacing w:after="80"/>
      </w:pPr>
    </w:p>
    <w:p>
      <w:pPr>
        <w:keepNext/>
        <w:spacing w:before="320" w:after="120"/>
      </w:pPr>
      <w:r>
        <w:rPr>
          <w:rFonts w:ascii="Calibri" w:hAnsi="Calibri"/>
          <w:b/>
          <w:color w:val="182B49"/>
          <w:sz w:val="30"/>
        </w:rPr>
        <w:t>10. Réponses Détaillées aux 5 Questions Arbitrales</w:t>
      </w:r>
    </w:p>
    <w:p>
      <w:pPr>
        <w:spacing w:after="80"/>
      </w:pPr>
      <w:r>
        <w:rPr>
          <w:b/>
          <w:color w:val="182B49"/>
        </w:rPr>
        <w:t>1. Le Scénario 1 est-il atteignable en 2032 ?</w:t>
        <w:br/>
      </w:r>
      <w:r>
        <w:t>Oui. Il nécessite un freinage strict de la dépense publique en volume à +0,4 %/an (contre +1,8 % tendanciel) et la sanctuarisation de la discipline fiscale sans nouvelles niches.</w:t>
      </w:r>
    </w:p>
    <w:p>
      <w:pPr>
        <w:spacing w:after="80"/>
      </w:pPr>
      <w:r>
        <w:rPr>
          <w:b/>
          <w:color w:val="182B49"/>
        </w:rPr>
        <w:t>2. Le Scénario 2 est-il réaliste et soutenable ?</w:t>
        <w:br/>
      </w:r>
      <w:r>
        <w:t>Non. Mathématiquement calculable mais économiquement dévastateur (déflation et faillites en chaîne) et socialement insoutenable. L'excédent maximal soutenable est plafonné à +2,5 % - +3,0 % du PIB.</w:t>
      </w:r>
    </w:p>
    <w:p>
      <w:pPr>
        <w:spacing w:after="80"/>
      </w:pPr>
      <w:r>
        <w:rPr>
          <w:b/>
          <w:color w:val="182B49"/>
        </w:rPr>
        <w:t>3. Le Scénario 3 permet-il d'atteindre 100 % de dette/PIB ?</w:t>
        <w:br/>
      </w:r>
      <w:r>
        <w:t>Oui. Le ratio atteint 96,5 % en 2032. 73 % de la décrue provient du dénominateur (croissance et inflation) et 27 % du numérateur par la génération d'excédents primaires cumulés dès 2028.</w:t>
      </w:r>
    </w:p>
    <w:p>
      <w:pPr>
        <w:spacing w:after="80"/>
      </w:pPr>
      <w:r>
        <w:rPr>
          <w:b/>
          <w:color w:val="182B49"/>
        </w:rPr>
        <w:t>4. Quel est le prix économique et social de chaque scénario ?</w:t>
        <w:br/>
      </w:r>
      <w:r>
        <w:t>Scénario 1 : effort d'efficacité et modération ciblée des retraites élevées. Scénario 2 : destruction massive de capital humain et paralysie de l'État. Scénario 3 : rigueur budgétaire pluriannuelle compensée par l'investissement stratégique.</w:t>
      </w:r>
    </w:p>
    <w:p>
      <w:pPr>
        <w:spacing w:after="80"/>
      </w:pPr>
      <w:r>
        <w:rPr>
          <w:b/>
          <w:color w:val="182B49"/>
        </w:rPr>
        <w:t>5. Recommandation finale d'arbitrage :</w:t>
        <w:br/>
      </w:r>
      <w:r>
        <w:t>Le SCÉNARIO 3 modulé (Désendettement à 96,5 % avec solde à +2,1 % en 2032) est recommandé : il restaure la souveraineté financière de la France, dégage une marge de sécurité face aux chocs et finance un budget R&amp;D porté à 3,2 % du PIB.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Calibri" w:hAnsi="Calibri"/>
      <w:color w:val="2C3E5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